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E8DC0" w14:textId="48817689" w:rsidR="00812AA6" w:rsidRPr="007B5E5B" w:rsidRDefault="00812AA6" w:rsidP="00812AA6">
      <w:pPr>
        <w:jc w:val="right"/>
        <w:rPr>
          <w:rFonts w:ascii="Times New Roman" w:hAnsi="Times New Roman"/>
          <w:b/>
          <w:i/>
          <w:iCs/>
          <w:color w:val="000000"/>
          <w:sz w:val="20"/>
          <w:szCs w:val="20"/>
        </w:rPr>
      </w:pPr>
      <w:bookmarkStart w:id="0" w:name="_Toc158735767"/>
      <w:r>
        <w:rPr>
          <w:rFonts w:ascii="Times New Roman" w:hAnsi="Times New Roman"/>
          <w:b/>
          <w:bCs/>
          <w:i/>
          <w:iCs/>
          <w:color w:val="000000"/>
          <w:sz w:val="20"/>
          <w:szCs w:val="20"/>
        </w:rPr>
        <w:t>1</w:t>
      </w:r>
      <w:r w:rsidRPr="007B5E5B">
        <w:rPr>
          <w:rFonts w:ascii="Times New Roman" w:hAnsi="Times New Roman"/>
          <w:b/>
          <w:bCs/>
          <w:i/>
          <w:iCs/>
          <w:color w:val="000000"/>
          <w:sz w:val="20"/>
          <w:szCs w:val="20"/>
        </w:rPr>
        <w:t>.pielikums</w:t>
      </w:r>
    </w:p>
    <w:p w14:paraId="5E40E8EC" w14:textId="77777777" w:rsidR="00812AA6" w:rsidRDefault="00812AA6" w:rsidP="00812AA6">
      <w:pPr>
        <w:jc w:val="right"/>
        <w:rPr>
          <w:rFonts w:ascii="Times New Roman" w:hAnsi="Times New Roman"/>
          <w:i/>
          <w:iCs/>
          <w:sz w:val="20"/>
          <w:szCs w:val="20"/>
        </w:rPr>
      </w:pPr>
      <w:r w:rsidRPr="007B5E5B">
        <w:rPr>
          <w:rFonts w:ascii="Times New Roman" w:hAnsi="Times New Roman"/>
          <w:i/>
          <w:iCs/>
          <w:sz w:val="20"/>
          <w:szCs w:val="20"/>
        </w:rPr>
        <w:t xml:space="preserve">Atklātā iepirkuma </w:t>
      </w:r>
      <w:bookmarkStart w:id="1" w:name="_Hlk134710464"/>
      <w:r w:rsidRPr="007B5E5B">
        <w:rPr>
          <w:rFonts w:ascii="Times New Roman" w:hAnsi="Times New Roman"/>
          <w:i/>
          <w:iCs/>
          <w:sz w:val="20"/>
          <w:szCs w:val="20"/>
        </w:rPr>
        <w:t>“</w:t>
      </w:r>
      <w:proofErr w:type="spellStart"/>
      <w:r w:rsidRPr="00D72975">
        <w:rPr>
          <w:rFonts w:ascii="Times New Roman" w:hAnsi="Times New Roman"/>
          <w:i/>
          <w:iCs/>
          <w:sz w:val="20"/>
          <w:szCs w:val="20"/>
        </w:rPr>
        <w:t>Pēcsanācijas</w:t>
      </w:r>
      <w:proofErr w:type="spellEnd"/>
      <w:r w:rsidRPr="00D72975">
        <w:rPr>
          <w:rFonts w:ascii="Times New Roman" w:hAnsi="Times New Roman"/>
          <w:i/>
          <w:iCs/>
          <w:sz w:val="20"/>
          <w:szCs w:val="20"/>
        </w:rPr>
        <w:t xml:space="preserve"> gruntsūdens monitorings </w:t>
      </w:r>
    </w:p>
    <w:p w14:paraId="7B348E55" w14:textId="0F02ADF4" w:rsidR="00812AA6" w:rsidRDefault="00812AA6" w:rsidP="00812AA6">
      <w:pPr>
        <w:jc w:val="right"/>
        <w:rPr>
          <w:rFonts w:ascii="Times New Roman" w:hAnsi="Times New Roman"/>
          <w:i/>
          <w:iCs/>
          <w:sz w:val="20"/>
          <w:szCs w:val="20"/>
        </w:rPr>
      </w:pPr>
      <w:r w:rsidRPr="00D72975">
        <w:rPr>
          <w:rFonts w:ascii="Times New Roman" w:hAnsi="Times New Roman"/>
          <w:i/>
          <w:iCs/>
          <w:sz w:val="20"/>
          <w:szCs w:val="20"/>
        </w:rPr>
        <w:t>sanācijas darbu teritorijā Dzintaru iel</w:t>
      </w:r>
      <w:r w:rsidR="00DF6F9E">
        <w:rPr>
          <w:rFonts w:ascii="Times New Roman" w:hAnsi="Times New Roman"/>
          <w:i/>
          <w:iCs/>
          <w:sz w:val="20"/>
          <w:szCs w:val="20"/>
        </w:rPr>
        <w:t>ā</w:t>
      </w:r>
      <w:r w:rsidRPr="00D72975">
        <w:rPr>
          <w:rFonts w:ascii="Times New Roman" w:hAnsi="Times New Roman"/>
          <w:i/>
          <w:iCs/>
          <w:sz w:val="20"/>
          <w:szCs w:val="20"/>
        </w:rPr>
        <w:t xml:space="preserve"> 68 (27000290133) </w:t>
      </w:r>
    </w:p>
    <w:p w14:paraId="2A454299" w14:textId="23CD6375" w:rsidR="00812AA6" w:rsidRPr="007B5E5B" w:rsidRDefault="00812AA6" w:rsidP="00812AA6">
      <w:pPr>
        <w:jc w:val="right"/>
        <w:rPr>
          <w:rFonts w:ascii="Times New Roman" w:hAnsi="Times New Roman"/>
          <w:i/>
          <w:iCs/>
          <w:sz w:val="20"/>
          <w:szCs w:val="20"/>
        </w:rPr>
      </w:pPr>
      <w:r w:rsidRPr="00D72975">
        <w:rPr>
          <w:rFonts w:ascii="Times New Roman" w:hAnsi="Times New Roman"/>
          <w:i/>
          <w:iCs/>
          <w:sz w:val="20"/>
          <w:szCs w:val="20"/>
        </w:rPr>
        <w:t>un Dzintaru iel</w:t>
      </w:r>
      <w:r w:rsidR="00DF6F9E">
        <w:rPr>
          <w:rFonts w:ascii="Times New Roman" w:hAnsi="Times New Roman"/>
          <w:i/>
          <w:iCs/>
          <w:sz w:val="20"/>
          <w:szCs w:val="20"/>
        </w:rPr>
        <w:t>ā</w:t>
      </w:r>
      <w:r w:rsidRPr="00D72975">
        <w:rPr>
          <w:rFonts w:ascii="Times New Roman" w:hAnsi="Times New Roman"/>
          <w:i/>
          <w:iCs/>
          <w:sz w:val="20"/>
          <w:szCs w:val="20"/>
        </w:rPr>
        <w:t xml:space="preserve"> 52C (27000290007</w:t>
      </w:r>
      <w:r w:rsidRPr="007B5E5B">
        <w:rPr>
          <w:rFonts w:ascii="Times New Roman" w:hAnsi="Times New Roman"/>
          <w:i/>
          <w:iCs/>
          <w:sz w:val="20"/>
          <w:szCs w:val="20"/>
        </w:rPr>
        <w:t xml:space="preserve">” </w:t>
      </w:r>
      <w:bookmarkEnd w:id="1"/>
    </w:p>
    <w:p w14:paraId="4D5781D0" w14:textId="3E18BAD4" w:rsidR="00812AA6" w:rsidRDefault="00812AA6" w:rsidP="00812AA6">
      <w:pPr>
        <w:jc w:val="right"/>
        <w:rPr>
          <w:rFonts w:ascii="Times New Roman" w:hAnsi="Times New Roman"/>
          <w:i/>
          <w:iCs/>
          <w:color w:val="000000"/>
          <w:sz w:val="20"/>
          <w:szCs w:val="20"/>
        </w:rPr>
      </w:pPr>
      <w:r w:rsidRPr="007B5E5B">
        <w:rPr>
          <w:rFonts w:ascii="Times New Roman" w:hAnsi="Times New Roman"/>
          <w:i/>
          <w:iCs/>
          <w:sz w:val="20"/>
          <w:szCs w:val="20"/>
        </w:rPr>
        <w:t xml:space="preserve">nolikumam, </w:t>
      </w:r>
      <w:r w:rsidRPr="007B5E5B">
        <w:rPr>
          <w:rFonts w:ascii="Times New Roman" w:hAnsi="Times New Roman"/>
          <w:i/>
          <w:iCs/>
          <w:color w:val="000000"/>
          <w:sz w:val="20"/>
          <w:szCs w:val="20"/>
        </w:rPr>
        <w:t>identifikācijas Nr. VBOP 2024/4</w:t>
      </w:r>
      <w:r>
        <w:rPr>
          <w:rFonts w:ascii="Times New Roman" w:hAnsi="Times New Roman"/>
          <w:i/>
          <w:iCs/>
          <w:color w:val="000000"/>
          <w:sz w:val="20"/>
          <w:szCs w:val="20"/>
        </w:rPr>
        <w:t>6</w:t>
      </w:r>
    </w:p>
    <w:p w14:paraId="747CCBB7" w14:textId="77777777" w:rsidR="00812AA6" w:rsidRPr="00812AA6" w:rsidRDefault="00812AA6" w:rsidP="00812AA6">
      <w:pPr>
        <w:jc w:val="right"/>
      </w:pPr>
    </w:p>
    <w:p w14:paraId="72F8DF01" w14:textId="3EAEA75D" w:rsidR="00EF4C5C" w:rsidRPr="007929B5" w:rsidRDefault="00EF4C5C" w:rsidP="00EF4C5C">
      <w:pPr>
        <w:pStyle w:val="Virsraksts2"/>
        <w:jc w:val="center"/>
        <w:rPr>
          <w:rFonts w:ascii="Times New Roman" w:hAnsi="Times New Roman" w:cs="Times New Roman"/>
          <w:b/>
          <w:bCs/>
          <w:color w:val="auto"/>
        </w:rPr>
      </w:pPr>
      <w:r w:rsidRPr="007929B5">
        <w:rPr>
          <w:rFonts w:ascii="Times New Roman" w:hAnsi="Times New Roman" w:cs="Times New Roman"/>
          <w:b/>
          <w:bCs/>
          <w:color w:val="auto"/>
        </w:rPr>
        <w:t>Darba uzdevums</w:t>
      </w:r>
    </w:p>
    <w:bookmarkEnd w:id="0"/>
    <w:p w14:paraId="761F387F" w14:textId="77777777" w:rsidR="00F00FF4" w:rsidRPr="007929B5" w:rsidRDefault="00F00FF4" w:rsidP="00EF4C5C">
      <w:pPr>
        <w:jc w:val="both"/>
        <w:rPr>
          <w:rFonts w:ascii="Times New Roman" w:hAnsi="Times New Roman"/>
          <w:b/>
          <w:bCs/>
        </w:rPr>
      </w:pPr>
    </w:p>
    <w:p w14:paraId="47A0EBD9" w14:textId="5B995BC2" w:rsidR="00A94987" w:rsidRPr="007929B5" w:rsidRDefault="00A94987" w:rsidP="00EF4C5C">
      <w:pPr>
        <w:jc w:val="both"/>
        <w:rPr>
          <w:rFonts w:ascii="Times New Roman" w:hAnsi="Times New Roman"/>
          <w:b/>
          <w:bCs/>
        </w:rPr>
      </w:pPr>
      <w:r w:rsidRPr="007929B5">
        <w:rPr>
          <w:rFonts w:ascii="Times New Roman" w:hAnsi="Times New Roman"/>
          <w:b/>
          <w:bCs/>
        </w:rPr>
        <w:t>VISPĀRĒJS MONITORINGA OBJEKTA APRAKSTS</w:t>
      </w:r>
    </w:p>
    <w:p w14:paraId="00DC69CC" w14:textId="6E0CD2F4" w:rsidR="006D3A7C" w:rsidRPr="007929B5" w:rsidRDefault="002679F9" w:rsidP="00F00FF4">
      <w:pPr>
        <w:jc w:val="both"/>
        <w:rPr>
          <w:rFonts w:ascii="Times New Roman" w:hAnsi="Times New Roman"/>
        </w:rPr>
      </w:pPr>
      <w:bookmarkStart w:id="2" w:name="_Toc163089689"/>
      <w:r w:rsidRPr="007929B5">
        <w:rPr>
          <w:rFonts w:ascii="Times New Roman" w:hAnsi="Times New Roman"/>
        </w:rPr>
        <w:t>NAI “ŪDEKA” (kadastra Nr. 27000290133) un naftas produktu maģistrālo cauruļvadu trases (A un B rajoni) (kadastra Nr. 27000290007) teritorija.</w:t>
      </w:r>
    </w:p>
    <w:p w14:paraId="73F0E4DA" w14:textId="77777777" w:rsidR="002679F9" w:rsidRPr="007929B5" w:rsidRDefault="002679F9" w:rsidP="00F00FF4">
      <w:pPr>
        <w:jc w:val="both"/>
        <w:rPr>
          <w:rFonts w:ascii="Times New Roman" w:hAnsi="Times New Roman"/>
          <w:b/>
          <w:bCs/>
        </w:rPr>
      </w:pPr>
    </w:p>
    <w:p w14:paraId="314D5B43" w14:textId="741F684A" w:rsidR="00F00FF4" w:rsidRPr="007929B5" w:rsidRDefault="00F00FF4" w:rsidP="00F00FF4">
      <w:pPr>
        <w:jc w:val="both"/>
        <w:rPr>
          <w:rFonts w:ascii="Times New Roman" w:hAnsi="Times New Roman"/>
          <w:b/>
          <w:bCs/>
        </w:rPr>
      </w:pPr>
      <w:r w:rsidRPr="007929B5">
        <w:rPr>
          <w:rFonts w:ascii="Times New Roman" w:hAnsi="Times New Roman"/>
          <w:b/>
          <w:bCs/>
        </w:rPr>
        <w:t>Ģeogrāfiskais izvietojums</w:t>
      </w:r>
      <w:bookmarkEnd w:id="2"/>
    </w:p>
    <w:p w14:paraId="7FB2E6F6" w14:textId="10DBAFBC" w:rsidR="00F00FF4" w:rsidRPr="007929B5" w:rsidRDefault="00F00FF4" w:rsidP="00F00FF4">
      <w:pPr>
        <w:jc w:val="both"/>
        <w:rPr>
          <w:rFonts w:ascii="Times New Roman" w:hAnsi="Times New Roman"/>
          <w:lang w:val="sv-SE"/>
        </w:rPr>
      </w:pPr>
      <w:r w:rsidRPr="007929B5">
        <w:rPr>
          <w:rFonts w:ascii="Times New Roman" w:hAnsi="Times New Roman"/>
          <w:lang w:val="sv-SE"/>
        </w:rPr>
        <w:t xml:space="preserve">Naftas produktu maģistrālo cauruļvadu trases (MCT) - A un B rajonu daļa un bijušās NAI </w:t>
      </w:r>
      <w:r w:rsidR="007929B5">
        <w:rPr>
          <w:rFonts w:ascii="Times New Roman" w:hAnsi="Times New Roman"/>
          <w:lang w:val="sv-SE"/>
        </w:rPr>
        <w:t>”</w:t>
      </w:r>
      <w:r w:rsidRPr="007929B5">
        <w:rPr>
          <w:rFonts w:ascii="Times New Roman" w:hAnsi="Times New Roman"/>
          <w:lang w:val="sv-SE"/>
        </w:rPr>
        <w:t xml:space="preserve">ŪDEKA” teritorija, kur veikti sanācijas darbi, izvietota Ventspils ziemeļu daļā - pilsētas rūpnieciskajā </w:t>
      </w:r>
      <w:r w:rsidRPr="00C46840">
        <w:rPr>
          <w:rFonts w:ascii="Times New Roman" w:hAnsi="Times New Roman"/>
          <w:lang w:val="sv-SE"/>
        </w:rPr>
        <w:t>zonā (</w:t>
      </w:r>
      <w:r w:rsidR="00DF6F9E" w:rsidRPr="00C46840">
        <w:rPr>
          <w:rFonts w:ascii="Times New Roman" w:hAnsi="Times New Roman"/>
          <w:lang w:val="sv-SE"/>
        </w:rPr>
        <w:t>1</w:t>
      </w:r>
      <w:r w:rsidRPr="00C46840">
        <w:rPr>
          <w:rFonts w:ascii="Times New Roman" w:hAnsi="Times New Roman"/>
          <w:lang w:val="sv-SE"/>
        </w:rPr>
        <w:t>. attēls), tikai no 30 m līdz dažu 100 m attālumā no Baltijas jūras krasta un no Ventspils ostas ziemeļu mola</w:t>
      </w:r>
      <w:r w:rsidRPr="007929B5">
        <w:rPr>
          <w:rFonts w:ascii="Times New Roman" w:hAnsi="Times New Roman"/>
          <w:lang w:val="sv-SE"/>
        </w:rPr>
        <w:t>.</w:t>
      </w:r>
    </w:p>
    <w:p w14:paraId="0D537277" w14:textId="77777777" w:rsidR="00F00FF4" w:rsidRPr="007929B5" w:rsidRDefault="00F00FF4" w:rsidP="00F00FF4">
      <w:pPr>
        <w:rPr>
          <w:rFonts w:ascii="Times New Roman" w:hAnsi="Times New Roman"/>
          <w:lang w:val="sv-SE"/>
        </w:rPr>
      </w:pPr>
    </w:p>
    <w:p w14:paraId="555B05E3" w14:textId="77777777" w:rsidR="00F00FF4" w:rsidRPr="007929B5" w:rsidRDefault="00F00FF4" w:rsidP="00F00FF4">
      <w:pPr>
        <w:jc w:val="center"/>
        <w:rPr>
          <w:rFonts w:ascii="Times New Roman" w:hAnsi="Times New Roman"/>
          <w:lang w:val="sv-SE"/>
        </w:rPr>
      </w:pPr>
      <w:r w:rsidRPr="007929B5">
        <w:rPr>
          <w:rFonts w:ascii="Times New Roman" w:hAnsi="Times New Roman"/>
          <w:noProof/>
        </w:rPr>
        <w:drawing>
          <wp:inline distT="0" distB="0" distL="0" distR="0" wp14:anchorId="4A86CA67" wp14:editId="640E3EEF">
            <wp:extent cx="5276850" cy="3563474"/>
            <wp:effectExtent l="0" t="0" r="0" b="0"/>
            <wp:docPr id="35" name="Picture 35" descr="A map of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map of a field&#10;&#10;Description automatically generated"/>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5286169" cy="3569767"/>
                    </a:xfrm>
                    <a:prstGeom prst="rect">
                      <a:avLst/>
                    </a:prstGeom>
                    <a:noFill/>
                    <a:ln>
                      <a:noFill/>
                    </a:ln>
                  </pic:spPr>
                </pic:pic>
              </a:graphicData>
            </a:graphic>
          </wp:inline>
        </w:drawing>
      </w:r>
    </w:p>
    <w:p w14:paraId="1FFDBA52" w14:textId="4960F186" w:rsidR="00F00FF4" w:rsidRPr="007929B5" w:rsidRDefault="00F00FF4" w:rsidP="00116840">
      <w:pPr>
        <w:pStyle w:val="Apakvirsraksts"/>
        <w:numPr>
          <w:ilvl w:val="0"/>
          <w:numId w:val="0"/>
        </w:numPr>
        <w:ind w:left="720"/>
        <w:jc w:val="center"/>
        <w:rPr>
          <w:rFonts w:ascii="Times New Roman" w:eastAsia="Times New Roman" w:hAnsi="Times New Roman" w:cs="Times New Roman"/>
          <w:color w:val="auto"/>
          <w:spacing w:val="0"/>
          <w:sz w:val="22"/>
          <w:szCs w:val="24"/>
          <w:lang w:val="sv-SE"/>
        </w:rPr>
      </w:pPr>
      <w:r w:rsidRPr="007929B5">
        <w:rPr>
          <w:rFonts w:ascii="Times New Roman" w:eastAsia="Times New Roman" w:hAnsi="Times New Roman" w:cs="Times New Roman"/>
          <w:color w:val="auto"/>
          <w:spacing w:val="0"/>
          <w:sz w:val="22"/>
          <w:szCs w:val="24"/>
          <w:lang w:val="sv-SE"/>
        </w:rPr>
        <w:t>1. ATTĒLS. Objekt</w:t>
      </w:r>
      <w:r w:rsidR="00C46840">
        <w:rPr>
          <w:rFonts w:ascii="Times New Roman" w:eastAsia="Times New Roman" w:hAnsi="Times New Roman" w:cs="Times New Roman"/>
          <w:color w:val="auto"/>
          <w:spacing w:val="0"/>
          <w:sz w:val="22"/>
          <w:szCs w:val="24"/>
          <w:lang w:val="sv-SE"/>
        </w:rPr>
        <w:t>a</w:t>
      </w:r>
      <w:r w:rsidRPr="007929B5">
        <w:rPr>
          <w:rFonts w:ascii="Times New Roman" w:eastAsia="Times New Roman" w:hAnsi="Times New Roman" w:cs="Times New Roman"/>
          <w:color w:val="auto"/>
          <w:spacing w:val="0"/>
          <w:sz w:val="22"/>
          <w:szCs w:val="24"/>
          <w:lang w:val="sv-SE"/>
        </w:rPr>
        <w:t xml:space="preserve"> izvietojums, tā robežas</w:t>
      </w:r>
    </w:p>
    <w:p w14:paraId="0963999D" w14:textId="77777777" w:rsidR="00F00FF4" w:rsidRPr="007929B5" w:rsidRDefault="00F00FF4" w:rsidP="00F00FF4">
      <w:pPr>
        <w:jc w:val="both"/>
        <w:rPr>
          <w:rFonts w:ascii="Times New Roman" w:hAnsi="Times New Roman"/>
          <w:lang w:val="sv-SE"/>
        </w:rPr>
      </w:pPr>
    </w:p>
    <w:p w14:paraId="63E1A1FF" w14:textId="48CD5C88" w:rsidR="00F00FF4" w:rsidRPr="007929B5" w:rsidRDefault="00F00FF4" w:rsidP="00F00FF4">
      <w:pPr>
        <w:jc w:val="both"/>
        <w:rPr>
          <w:rFonts w:ascii="Times New Roman" w:hAnsi="Times New Roman"/>
          <w:lang w:val="sv-SE"/>
        </w:rPr>
      </w:pPr>
      <w:r w:rsidRPr="007929B5">
        <w:rPr>
          <w:rFonts w:ascii="Times New Roman" w:hAnsi="Times New Roman"/>
          <w:lang w:val="sv-SE"/>
        </w:rPr>
        <w:t>Fizioģeogrāfiski darbu objekts atrodas Piejūras zemienē Ventavas līdzenumā. Zemes virsmas reljefs pamatā līdzens, tā absolūtās atzīmes svārstās robežās no ~ 4 līdz 10 m virs jūras līmeņa (v.j.l.). Visā sanācijas darbu teritorijā reljefs izmainīts cilvēka darbības rezultātā – izlīdzināts.</w:t>
      </w:r>
    </w:p>
    <w:p w14:paraId="43E03781" w14:textId="77777777" w:rsidR="006D3A7C" w:rsidRPr="007929B5" w:rsidRDefault="006D3A7C" w:rsidP="00F00FF4">
      <w:pPr>
        <w:jc w:val="both"/>
        <w:rPr>
          <w:rFonts w:ascii="Times New Roman" w:hAnsi="Times New Roman"/>
          <w:b/>
          <w:bCs/>
        </w:rPr>
      </w:pPr>
      <w:bookmarkStart w:id="3" w:name="_Toc163089690"/>
    </w:p>
    <w:p w14:paraId="6210950B" w14:textId="250B76FB" w:rsidR="00F00FF4" w:rsidRPr="007929B5" w:rsidRDefault="00F00FF4" w:rsidP="00F00FF4">
      <w:pPr>
        <w:jc w:val="both"/>
        <w:rPr>
          <w:rFonts w:ascii="Times New Roman" w:hAnsi="Times New Roman"/>
          <w:b/>
          <w:bCs/>
        </w:rPr>
      </w:pPr>
      <w:r w:rsidRPr="007929B5">
        <w:rPr>
          <w:rFonts w:ascii="Times New Roman" w:hAnsi="Times New Roman"/>
          <w:b/>
          <w:bCs/>
        </w:rPr>
        <w:t>Ģeoloģiskais raksturojums un hidroģeoloģiskie apstākļi</w:t>
      </w:r>
      <w:bookmarkEnd w:id="3"/>
    </w:p>
    <w:p w14:paraId="3132A5EE" w14:textId="77777777" w:rsidR="00F00FF4" w:rsidRPr="007929B5" w:rsidRDefault="00F00FF4" w:rsidP="00F00FF4">
      <w:pPr>
        <w:jc w:val="both"/>
        <w:rPr>
          <w:rFonts w:ascii="Times New Roman" w:hAnsi="Times New Roman"/>
          <w:lang w:val="sv-SE"/>
        </w:rPr>
      </w:pPr>
      <w:r w:rsidRPr="007929B5">
        <w:rPr>
          <w:rFonts w:ascii="Times New Roman" w:hAnsi="Times New Roman"/>
          <w:lang w:val="sv-SE"/>
        </w:rPr>
        <w:t>Ģeoloģiskā griezuma augšējo daļu (līdz ~ 1.0 - 1.5 m) galvenokārt veido mūsdienu tehnogēnie nogulumi – pārrakta grunts (pamatā smilts smalka un vidēji rupja, ar oļiem), kas atsedzas zemes virspusē. Dziļāk (līdz izpētes laikā izurbtajam dziļumam – 6...9 m no zemes virsmas) ģeoloģiskajā griezumā ieguļ holocēna vecuma Litorīnas jūras nogulumi smalka līdz rupja smilts vietām ar oļiem. Daļā teritorijas ap 3 – 4 m dziļumu no zemes virsmas ieguļ līdz 0.5 m biezs labi šķirotas grants – oļu slānis.</w:t>
      </w:r>
    </w:p>
    <w:p w14:paraId="7F147A9E" w14:textId="77777777" w:rsidR="00F00FF4" w:rsidRPr="007929B5" w:rsidRDefault="00F00FF4" w:rsidP="00F00FF4">
      <w:pPr>
        <w:rPr>
          <w:rFonts w:ascii="Times New Roman" w:hAnsi="Times New Roman"/>
          <w:lang w:val="sv-SE"/>
        </w:rPr>
      </w:pPr>
    </w:p>
    <w:p w14:paraId="4FB0F376" w14:textId="77777777" w:rsidR="00F00FF4" w:rsidRPr="007929B5" w:rsidRDefault="00F00FF4" w:rsidP="00F00FF4">
      <w:pPr>
        <w:jc w:val="both"/>
        <w:rPr>
          <w:rFonts w:ascii="Times New Roman" w:hAnsi="Times New Roman"/>
          <w:lang w:val="sv-SE"/>
        </w:rPr>
      </w:pPr>
      <w:r w:rsidRPr="007929B5">
        <w:rPr>
          <w:rFonts w:ascii="Times New Roman" w:hAnsi="Times New Roman"/>
          <w:lang w:val="sv-SE"/>
        </w:rPr>
        <w:t>Šādam nogulumu sastāvam ir raksturīgas labas un ļoti labas filtrācijas īpašības, kas nozīmē, ka naftas produktu (NP) piesārņojuma brīvā fāze var netraucēti pārvietoties salīdzinoši lielos attālumos, ko ietekmē grunts masīva hidrauliskā gradienta izraisītās spiedienu atšķirības. Īpaši labvēlīgs piesārņojuma migrācijai ir 5 – 6 m v.j.l. dziļumā konstatētais grants – oļu slānis, kura biezums nav lielāks par dažiem desmitiem cm, tomēr tam ir raksturīga ļoti liela filtrācija, kas nozīmē, ka piesārņojuma kustība ir iespējama lielā attālumā arī virzienā pret valdošo gruntsūdens plūsmas virzienu, atsevišķos īslaicīgos periodos. Ņemot vērā visu apkopoto un publiski pieejamo informāciju zināms, ka šajā teritorijā esošo nogulumu (izņemot grants – oļu slāni) filtrācijas koeficients k svārstās ap 23.5 m/dnn, bet grants - oļu slānim filtrācijas koeficients k var sasniegt 100...1000 m/dnn.</w:t>
      </w:r>
    </w:p>
    <w:p w14:paraId="5278DDA4" w14:textId="77777777" w:rsidR="00F00FF4" w:rsidRPr="007929B5" w:rsidRDefault="00F00FF4" w:rsidP="00F00FF4">
      <w:pPr>
        <w:rPr>
          <w:rFonts w:ascii="Times New Roman" w:hAnsi="Times New Roman"/>
          <w:lang w:val="sv-SE"/>
        </w:rPr>
      </w:pPr>
    </w:p>
    <w:p w14:paraId="01DBCC60" w14:textId="77777777" w:rsidR="00F00FF4" w:rsidRPr="007929B5" w:rsidRDefault="00F00FF4" w:rsidP="00F00FF4">
      <w:pPr>
        <w:jc w:val="both"/>
        <w:rPr>
          <w:rFonts w:ascii="Times New Roman" w:hAnsi="Times New Roman"/>
          <w:lang w:val="sv-SE"/>
        </w:rPr>
      </w:pPr>
      <w:r w:rsidRPr="007929B5">
        <w:rPr>
          <w:rFonts w:ascii="Times New Roman" w:hAnsi="Times New Roman"/>
          <w:lang w:val="sv-SE"/>
        </w:rPr>
        <w:t>Gruntsūdens piesaistīts Litorīnas jūras nogulumu slānim, ko pamatā veido smalka un vidēji rupja smilts. Gruntsūdens ieguļ 4,0 – 5,0 m dziļumā no zemes virsmas, bet piekrastes zonā gruntsūdens fiksējams tikai 1,5 – 2,5 metru dziļumā.</w:t>
      </w:r>
    </w:p>
    <w:p w14:paraId="683C32A6" w14:textId="77777777" w:rsidR="00F00FF4" w:rsidRPr="007929B5" w:rsidRDefault="00F00FF4" w:rsidP="00F00FF4">
      <w:pPr>
        <w:rPr>
          <w:rFonts w:ascii="Times New Roman" w:hAnsi="Times New Roman"/>
          <w:lang w:val="sv-SE"/>
        </w:rPr>
      </w:pPr>
    </w:p>
    <w:p w14:paraId="686FF7DA" w14:textId="77777777" w:rsidR="00F00FF4" w:rsidRPr="007929B5" w:rsidRDefault="00F00FF4" w:rsidP="00F00FF4">
      <w:pPr>
        <w:jc w:val="both"/>
        <w:rPr>
          <w:rFonts w:ascii="Times New Roman" w:hAnsi="Times New Roman"/>
          <w:lang w:val="sv-SE"/>
        </w:rPr>
      </w:pPr>
      <w:r w:rsidRPr="007929B5">
        <w:rPr>
          <w:rFonts w:ascii="Times New Roman" w:hAnsi="Times New Roman"/>
          <w:lang w:val="sv-SE"/>
        </w:rPr>
        <w:t>Gruntsūdens plūsmai (reizē arī iespējamā piesārņojuma migrācijas virzienam) lokālā mērogā ir samērā sarežģīts raksturs. Savukārt visai viennozīmīgi var apgalvot, ka gruntsūdens reģionālā plūsma izpētes objektā ir vērsta uz ziemeļrietumiem - tas ir, Baltijas jūras virzienā.</w:t>
      </w:r>
    </w:p>
    <w:p w14:paraId="2A84461B" w14:textId="3DD4A459" w:rsidR="00F00FF4" w:rsidRPr="007929B5" w:rsidRDefault="00F00FF4" w:rsidP="00F00FF4">
      <w:pPr>
        <w:pStyle w:val="Virsraksts2"/>
        <w:rPr>
          <w:rFonts w:ascii="Times New Roman" w:eastAsia="Times New Roman" w:hAnsi="Times New Roman" w:cs="Times New Roman"/>
          <w:b/>
          <w:bCs/>
          <w:color w:val="auto"/>
          <w:sz w:val="22"/>
          <w:szCs w:val="24"/>
        </w:rPr>
      </w:pPr>
      <w:bookmarkStart w:id="4" w:name="_Toc163089691"/>
      <w:r w:rsidRPr="007929B5">
        <w:rPr>
          <w:rFonts w:ascii="Times New Roman" w:eastAsia="Times New Roman" w:hAnsi="Times New Roman" w:cs="Times New Roman"/>
          <w:b/>
          <w:bCs/>
          <w:color w:val="auto"/>
          <w:sz w:val="22"/>
          <w:szCs w:val="24"/>
        </w:rPr>
        <w:t>Piesārņojuma avota visticamākā izcelsme un piesārņojuma raksturojums</w:t>
      </w:r>
      <w:r w:rsidRPr="007929B5">
        <w:rPr>
          <w:rFonts w:ascii="Times New Roman" w:hAnsi="Times New Roman" w:cs="Times New Roman"/>
        </w:rPr>
        <w:t xml:space="preserve"> </w:t>
      </w:r>
      <w:r w:rsidRPr="007929B5">
        <w:rPr>
          <w:rFonts w:ascii="Times New Roman" w:eastAsia="Times New Roman" w:hAnsi="Times New Roman" w:cs="Times New Roman"/>
          <w:b/>
          <w:bCs/>
          <w:color w:val="auto"/>
          <w:sz w:val="22"/>
          <w:szCs w:val="24"/>
        </w:rPr>
        <w:t>pirms sanācijas</w:t>
      </w:r>
      <w:bookmarkEnd w:id="4"/>
    </w:p>
    <w:p w14:paraId="2F824078" w14:textId="77777777" w:rsidR="00F00FF4" w:rsidRPr="007929B5" w:rsidRDefault="00F00FF4" w:rsidP="00116840">
      <w:pPr>
        <w:jc w:val="both"/>
        <w:rPr>
          <w:rFonts w:ascii="Times New Roman" w:hAnsi="Times New Roman"/>
          <w:lang w:val="sv-SE"/>
        </w:rPr>
      </w:pPr>
      <w:r w:rsidRPr="007929B5">
        <w:rPr>
          <w:rFonts w:ascii="Times New Roman" w:hAnsi="Times New Roman"/>
          <w:lang w:val="sv-SE"/>
        </w:rPr>
        <w:t xml:space="preserve">Ventspils ostas teritorijai attīstoties pēc Otrā pasaules kara, tika būvēti naftas un ķīmisko kravu pārkraušanas termināļi – Ventspils naftas pārsūknēšanas bāze, Ventspils pieostas rūpnīca. Līdztekus tām darbojās Padomju armijas tanku poligons. Zināms, ka vairākkārtējas un pat lielas degvielas noplūdes bijušas tanku poligona darbības laikā. Arī bieži naftas pārsūknēšanas bāzes cauruļvadu plīsumi cauruļvadu trasē notikuši jau kopš pašiem naftas pārsūknēšanas bāzes darbības pirmsākumiem 1961. gadā, līdz 20. gadsimtam. Astoņdesmitajos gados konstatēts to cēlonis – nepietiekama cauruļvadu metināšanas kvalitāte. Arī uz Ventspils pieostas rūpnīcas pievedceļiem un uz tās estakādes notikušas noplūdes. Visu šo negadījumu noplūžu rezultātā grunts un gruntsūdeņi teritorijā starp Ventspils pašvaldības SIA “Ūdeka” attīrīšanas iekārtām un Baltijas jūru ir piesārņoti ar naftas produktiem. Šī teritorija atrodas tikai dažus simtus metru no Baltijas jūras, tās robeža atrodas praktiski pašā piekrastes nogāzē. Tādēļ jūras akvatorija šajā teritorijā ir neaizsargāta pret piesārņojumu, kas var nokļūt jūrā kopā ar gruntsūdeņu plūsmu. </w:t>
      </w:r>
    </w:p>
    <w:p w14:paraId="32EFFA16" w14:textId="77777777" w:rsidR="00F00FF4" w:rsidRPr="007929B5" w:rsidRDefault="00F00FF4" w:rsidP="00F00FF4">
      <w:pPr>
        <w:rPr>
          <w:rFonts w:ascii="Times New Roman" w:hAnsi="Times New Roman"/>
          <w:lang w:val="sv-SE"/>
        </w:rPr>
      </w:pPr>
    </w:p>
    <w:p w14:paraId="3B59E433" w14:textId="77777777" w:rsidR="00F00FF4" w:rsidRPr="007929B5" w:rsidRDefault="00F00FF4" w:rsidP="00116840">
      <w:pPr>
        <w:jc w:val="both"/>
        <w:rPr>
          <w:rFonts w:ascii="Times New Roman" w:hAnsi="Times New Roman"/>
          <w:lang w:val="sv-SE"/>
        </w:rPr>
      </w:pPr>
      <w:r w:rsidRPr="007929B5">
        <w:rPr>
          <w:rFonts w:ascii="Times New Roman" w:hAnsi="Times New Roman"/>
          <w:lang w:val="sv-SE"/>
        </w:rPr>
        <w:t>Ņemot vērā teritorijas jūtīgumu un piesārņojuma pakāpi un mērogu, tās pilnvērtīga sanācija ir akūti nepieciešama.</w:t>
      </w:r>
    </w:p>
    <w:p w14:paraId="029459F0" w14:textId="77777777" w:rsidR="00F00FF4" w:rsidRPr="007929B5" w:rsidRDefault="00F00FF4" w:rsidP="00F00FF4">
      <w:pPr>
        <w:rPr>
          <w:rFonts w:ascii="Times New Roman" w:hAnsi="Times New Roman"/>
          <w:lang w:val="sv-SE"/>
        </w:rPr>
      </w:pPr>
    </w:p>
    <w:p w14:paraId="104B04C3" w14:textId="77777777" w:rsidR="00F00FF4" w:rsidRPr="007929B5" w:rsidRDefault="00F00FF4" w:rsidP="00116840">
      <w:pPr>
        <w:jc w:val="both"/>
        <w:rPr>
          <w:rFonts w:ascii="Times New Roman" w:hAnsi="Times New Roman"/>
          <w:lang w:val="sv-SE"/>
        </w:rPr>
      </w:pPr>
      <w:r w:rsidRPr="007929B5">
        <w:rPr>
          <w:rFonts w:ascii="Times New Roman" w:hAnsi="Times New Roman"/>
          <w:lang w:val="sv-SE"/>
        </w:rPr>
        <w:t>Dominējošais teritorijas piesārņojuma veids - dažāda veida NP grunts un gruntsūdens piesārņojums. Lielākoties benzīna, petrolejas un biodegradētas dīzeļdegvielas frakcijas.</w:t>
      </w:r>
    </w:p>
    <w:p w14:paraId="290265A4" w14:textId="77777777" w:rsidR="00F00FF4" w:rsidRPr="007929B5" w:rsidRDefault="00F00FF4" w:rsidP="00F00FF4">
      <w:pPr>
        <w:rPr>
          <w:rFonts w:ascii="Times New Roman" w:hAnsi="Times New Roman"/>
          <w:lang w:val="sv-SE"/>
        </w:rPr>
      </w:pPr>
    </w:p>
    <w:p w14:paraId="5C0202EB" w14:textId="77777777" w:rsidR="00F00FF4" w:rsidRPr="007929B5" w:rsidRDefault="00F00FF4" w:rsidP="00116840">
      <w:pPr>
        <w:jc w:val="both"/>
        <w:rPr>
          <w:rFonts w:ascii="Times New Roman" w:hAnsi="Times New Roman"/>
          <w:lang w:val="sv-SE"/>
        </w:rPr>
      </w:pPr>
      <w:r w:rsidRPr="007929B5">
        <w:rPr>
          <w:rFonts w:ascii="Times New Roman" w:hAnsi="Times New Roman"/>
          <w:lang w:val="sv-SE"/>
        </w:rPr>
        <w:t>Naftas produktu saturs analizētajos grunts paraugos ir robežās no 440 mg/kg līdz 19 000 mg/kg. Saskaņā ar spēkā esošajiem vērtējuma kritērijiem, divdesmit deviņos paraugos fiksēts naftas produktu ogļūdeņražu saturs, kas pārsniedz piesardzības robežlielumu B (500 mg/kg), tostarp deviņpadsmit no tiem ir pārsniegts kritiskais robežlielums - C (5000 mg/kg), kas uzskatāms par stipru grunts piesārņojumu ar NP.</w:t>
      </w:r>
    </w:p>
    <w:p w14:paraId="5436D001" w14:textId="77777777" w:rsidR="00F00FF4" w:rsidRPr="007929B5" w:rsidRDefault="00F00FF4" w:rsidP="00F00FF4">
      <w:pPr>
        <w:rPr>
          <w:rFonts w:ascii="Times New Roman" w:hAnsi="Times New Roman"/>
          <w:lang w:val="sv-SE"/>
        </w:rPr>
      </w:pPr>
    </w:p>
    <w:p w14:paraId="55D6A003" w14:textId="77777777" w:rsidR="00F00FF4" w:rsidRPr="007929B5" w:rsidRDefault="00F00FF4" w:rsidP="00116840">
      <w:pPr>
        <w:jc w:val="both"/>
        <w:rPr>
          <w:rFonts w:ascii="Times New Roman" w:hAnsi="Times New Roman"/>
          <w:lang w:val="sv-SE"/>
        </w:rPr>
      </w:pPr>
      <w:r w:rsidRPr="007929B5">
        <w:rPr>
          <w:rFonts w:ascii="Times New Roman" w:hAnsi="Times New Roman"/>
          <w:lang w:val="sv-SE"/>
        </w:rPr>
        <w:t>Naftas produktu piesārņojuma sastāvu izpētes teritorijas grunts masīvā veido naftas produkti, kuru sastāvā dominē (69% - 90%) C10 – C24 ogļūdeņražu grupas.</w:t>
      </w:r>
    </w:p>
    <w:p w14:paraId="25C57147" w14:textId="77777777" w:rsidR="00F00FF4" w:rsidRPr="007929B5" w:rsidRDefault="00F00FF4" w:rsidP="00F00FF4">
      <w:pPr>
        <w:rPr>
          <w:rFonts w:ascii="Times New Roman" w:hAnsi="Times New Roman"/>
          <w:lang w:val="sv-SE"/>
        </w:rPr>
      </w:pPr>
    </w:p>
    <w:p w14:paraId="229770A2" w14:textId="77777777" w:rsidR="00F00FF4" w:rsidRPr="007929B5" w:rsidRDefault="00F00FF4" w:rsidP="00116840">
      <w:pPr>
        <w:jc w:val="both"/>
        <w:rPr>
          <w:rFonts w:ascii="Times New Roman" w:hAnsi="Times New Roman"/>
          <w:lang w:val="sv-SE"/>
        </w:rPr>
      </w:pPr>
      <w:r w:rsidRPr="007929B5">
        <w:rPr>
          <w:rFonts w:ascii="Times New Roman" w:hAnsi="Times New Roman"/>
          <w:lang w:val="sv-SE"/>
        </w:rPr>
        <w:t xml:space="preserve">No ~112 gruntsūdens izpētes un monitoringa akām, naftas produktu „brīvās fāzes”, jeb gruntī neadsorbētā naftas produktu peldošais slānis (NPPS) fiksēts 25 akās no 0.01 līdz pat 0.90 m biezs. Analizējot kopējo naftas produktu (NP) saturu gruntsūdens paraugos, redzams, ka tikai 22 no kopsummā 86 laboratorijā analizētajiem paraugiem, NP koncentrācija nepārsniedz robežlielumu (C), kas ir 1 000 µg/l. Pārējos gruntsūdens paraugos fiksētās koncentrācijas ir </w:t>
      </w:r>
      <w:r w:rsidRPr="007929B5">
        <w:rPr>
          <w:rFonts w:ascii="Times New Roman" w:hAnsi="Times New Roman"/>
          <w:lang w:val="sv-SE"/>
        </w:rPr>
        <w:lastRenderedPageBreak/>
        <w:t xml:space="preserve">lielākas par 1 000 µg/l, līdz ar to, šo aku rajonā gruntsūdens uzskatāms par stipri piesārņotu, tāpat, kā to aku rajonā, kurās fiksēts NPPS. </w:t>
      </w:r>
    </w:p>
    <w:p w14:paraId="26C8C767" w14:textId="77777777" w:rsidR="00F00FF4" w:rsidRPr="007929B5" w:rsidRDefault="00F00FF4" w:rsidP="00F00FF4">
      <w:pPr>
        <w:rPr>
          <w:rFonts w:ascii="Times New Roman" w:hAnsi="Times New Roman"/>
          <w:lang w:val="sv-SE"/>
        </w:rPr>
      </w:pPr>
    </w:p>
    <w:p w14:paraId="7F967801" w14:textId="77777777" w:rsidR="00F00FF4" w:rsidRPr="007929B5" w:rsidRDefault="00F00FF4" w:rsidP="00116840">
      <w:pPr>
        <w:jc w:val="both"/>
        <w:rPr>
          <w:rFonts w:ascii="Times New Roman" w:hAnsi="Times New Roman"/>
          <w:lang w:val="sv-SE"/>
        </w:rPr>
      </w:pPr>
      <w:r w:rsidRPr="007929B5">
        <w:rPr>
          <w:rFonts w:ascii="Times New Roman" w:hAnsi="Times New Roman"/>
          <w:lang w:val="sv-SE"/>
        </w:rPr>
        <w:t>Stipra gruntsūdens piesārņojuma ar NP areāls praktiski izvietojas pa visu teritoriju, līdz pat Baltijas jūras piekrastes zonai. Areāla kopējā platība sastāda aptuveni 145 500 m2. NP peldošā slāņa izplatības areālu, kas izvietojas objekta teritorijā, kopējā platība sastāda aptuveni 23 000 m</w:t>
      </w:r>
      <w:r w:rsidRPr="00A71D6E">
        <w:rPr>
          <w:rFonts w:ascii="Times New Roman" w:hAnsi="Times New Roman"/>
          <w:vertAlign w:val="superscript"/>
          <w:lang w:val="sv-SE"/>
        </w:rPr>
        <w:t>2</w:t>
      </w:r>
      <w:r w:rsidRPr="007929B5">
        <w:rPr>
          <w:rFonts w:ascii="Times New Roman" w:hAnsi="Times New Roman"/>
          <w:lang w:val="sv-SE"/>
        </w:rPr>
        <w:t>.</w:t>
      </w:r>
    </w:p>
    <w:p w14:paraId="35CB705C" w14:textId="77777777" w:rsidR="00F00FF4" w:rsidRPr="007929B5" w:rsidRDefault="00F00FF4" w:rsidP="00EF4C5C">
      <w:pPr>
        <w:jc w:val="both"/>
        <w:rPr>
          <w:rFonts w:ascii="Times New Roman" w:hAnsi="Times New Roman"/>
        </w:rPr>
      </w:pPr>
    </w:p>
    <w:p w14:paraId="391EACBD" w14:textId="74CEEC46" w:rsidR="00A94987" w:rsidRPr="007929B5" w:rsidRDefault="006D3A7C" w:rsidP="00EF4C5C">
      <w:pPr>
        <w:jc w:val="both"/>
        <w:rPr>
          <w:rFonts w:ascii="Times New Roman" w:hAnsi="Times New Roman"/>
        </w:rPr>
      </w:pPr>
      <w:r w:rsidRPr="007929B5">
        <w:rPr>
          <w:rFonts w:ascii="Times New Roman" w:hAnsi="Times New Roman"/>
        </w:rPr>
        <w:t>VEIKTIE SANĀCIJAS DARBI TERITORIJĀ</w:t>
      </w:r>
    </w:p>
    <w:p w14:paraId="2144DE1F" w14:textId="77777777" w:rsidR="006D3A7C" w:rsidRPr="007929B5" w:rsidRDefault="006D3A7C" w:rsidP="00EF4C5C">
      <w:pPr>
        <w:jc w:val="both"/>
        <w:rPr>
          <w:rFonts w:ascii="Times New Roman" w:hAnsi="Times New Roman"/>
        </w:rPr>
      </w:pPr>
    </w:p>
    <w:p w14:paraId="180223D2" w14:textId="77777777" w:rsidR="006D3A7C" w:rsidRPr="007929B5" w:rsidRDefault="006D3A7C" w:rsidP="006D3A7C">
      <w:pPr>
        <w:jc w:val="both"/>
        <w:rPr>
          <w:rFonts w:ascii="Times New Roman" w:hAnsi="Times New Roman"/>
        </w:rPr>
      </w:pPr>
      <w:r w:rsidRPr="007929B5">
        <w:rPr>
          <w:rFonts w:ascii="Times New Roman" w:hAnsi="Times New Roman"/>
        </w:rPr>
        <w:t xml:space="preserve">Realizētie sanācijas darbi „Vēsturiski piesārņoto ar naftas produktiem vietu Ventspilī sanācija” (turpmāk – sanācijas darbi) bija viens no pasākumiem projekta „ Vēsturiski piesārņoto ar naftas produktiem vietu Ventspilī - bijusī NAI “ŪDEKA” (Kad. Nr. 27000290133) teritorija un naftas produktu maģistrālo cauruļvadu trase (Kad. Nr. 27000290007) - sanācija” ietvaros (turpmāk - Projekts). Projekts tika līdzfinansēts Norvēģijas finanšu instrumenta 2014.–2021.gada perioda programmas “Klimata pārmaiņu mazināšana, pielāgošanās tām un vide” ietvaros. </w:t>
      </w:r>
    </w:p>
    <w:p w14:paraId="07729A5B" w14:textId="0EAA43A2" w:rsidR="006D3A7C" w:rsidRPr="007929B5" w:rsidRDefault="006D3A7C" w:rsidP="006D3A7C">
      <w:pPr>
        <w:jc w:val="both"/>
        <w:rPr>
          <w:rFonts w:ascii="Times New Roman" w:hAnsi="Times New Roman"/>
        </w:rPr>
      </w:pPr>
      <w:r w:rsidRPr="007929B5">
        <w:rPr>
          <w:rFonts w:ascii="Times New Roman" w:hAnsi="Times New Roman"/>
        </w:rPr>
        <w:t>Darbu mērķis bija objekta teritoriju gruntsūdens horizontā izšķīdušo naftas produktu migrācijas pārtraukšana Baltijas jūras virzienā un grunts masīvā fiksēto brīvo naftas produktu frakcijas likvidēšana.</w:t>
      </w:r>
    </w:p>
    <w:p w14:paraId="14A9B06C" w14:textId="748B9C38" w:rsidR="006D3A7C" w:rsidRPr="007929B5" w:rsidRDefault="006D3A7C" w:rsidP="006D3A7C">
      <w:pPr>
        <w:jc w:val="both"/>
        <w:rPr>
          <w:rFonts w:ascii="Times New Roman" w:hAnsi="Times New Roman"/>
        </w:rPr>
      </w:pPr>
      <w:r w:rsidRPr="007929B5">
        <w:rPr>
          <w:rFonts w:ascii="Times New Roman" w:hAnsi="Times New Roman"/>
        </w:rPr>
        <w:t>Sanācijas darbu rezultātā bija jālikvidē grunts masīvā esošo brīvo naftas produktu frakcija, kas akās veido virs gruntsūdens esošu slāni, kas pastiprināti veicina turpmāku šķīstošo frakciju izplatību gruntsūdeņos un grunts slāņu piesārņošanu gruntsūdens līmeņu svārstību rezultātā, kā arī bija jāpārtrauc gruntsūdens horizontā izšķīdušo naftas produktu migrāciju Baltijas jūras virzienā.</w:t>
      </w:r>
    </w:p>
    <w:p w14:paraId="7EA6C759" w14:textId="77777777" w:rsidR="006D3A7C" w:rsidRPr="007929B5" w:rsidRDefault="006D3A7C" w:rsidP="006D3A7C">
      <w:pPr>
        <w:jc w:val="both"/>
        <w:rPr>
          <w:rFonts w:ascii="Times New Roman" w:hAnsi="Times New Roman"/>
        </w:rPr>
      </w:pPr>
    </w:p>
    <w:p w14:paraId="3A29EFF6" w14:textId="70E05E6C" w:rsidR="006D3A7C" w:rsidRPr="007929B5" w:rsidRDefault="006D3A7C" w:rsidP="006D3A7C">
      <w:pPr>
        <w:jc w:val="both"/>
        <w:rPr>
          <w:rFonts w:ascii="Times New Roman" w:hAnsi="Times New Roman"/>
        </w:rPr>
      </w:pPr>
      <w:r w:rsidRPr="007929B5">
        <w:rPr>
          <w:rFonts w:ascii="Times New Roman" w:hAnsi="Times New Roman"/>
        </w:rPr>
        <w:t>Veikto sanācijas aktivitāšu rezultātā sasniegti šādi sanācijas rezultāti:</w:t>
      </w:r>
    </w:p>
    <w:p w14:paraId="4ED3433E" w14:textId="77777777" w:rsidR="006D3A7C" w:rsidRPr="007929B5" w:rsidRDefault="006D3A7C" w:rsidP="006D3A7C">
      <w:pPr>
        <w:jc w:val="both"/>
        <w:rPr>
          <w:rFonts w:ascii="Times New Roman" w:hAnsi="Times New Roman"/>
        </w:rPr>
      </w:pPr>
      <w:r w:rsidRPr="007929B5">
        <w:rPr>
          <w:rFonts w:ascii="Times New Roman" w:hAnsi="Times New Roman"/>
        </w:rPr>
        <w:t>-</w:t>
      </w:r>
      <w:r w:rsidRPr="007929B5">
        <w:rPr>
          <w:rFonts w:ascii="Times New Roman" w:hAnsi="Times New Roman"/>
        </w:rPr>
        <w:tab/>
        <w:t>Paralēli jūras krastam ierīkota filtrējošā - attīrošā barjeras sistēma 302.9 m garumā, līdz 8 m dziļumā zemes virsmas un vismaz 600 mm platumā, lai pārtrauktu gruntsūdens horizontā izšķīdušo NP migrāciju Baltijas jūras virzienā. Barjera ir marķēta apvidū, nodrošinot tās aizsardzību pret iznīcināšanu.</w:t>
      </w:r>
    </w:p>
    <w:p w14:paraId="19C79225" w14:textId="77777777" w:rsidR="006D3A7C" w:rsidRPr="007929B5" w:rsidRDefault="006D3A7C" w:rsidP="006D3A7C">
      <w:pPr>
        <w:jc w:val="both"/>
        <w:rPr>
          <w:rFonts w:ascii="Times New Roman" w:hAnsi="Times New Roman"/>
        </w:rPr>
      </w:pPr>
      <w:r w:rsidRPr="007929B5">
        <w:rPr>
          <w:rFonts w:ascii="Times New Roman" w:hAnsi="Times New Roman"/>
        </w:rPr>
        <w:t>-</w:t>
      </w:r>
      <w:r w:rsidRPr="007929B5">
        <w:rPr>
          <w:rFonts w:ascii="Times New Roman" w:hAnsi="Times New Roman"/>
        </w:rPr>
        <w:tab/>
        <w:t>ir veikta sanācijas teritorijas grunts masīvā esošā brīvo naftas produktu frakcijas likvidācija, kas gruntsūdens monitoringa akās veidoja virs gruntsūdens esošu naftas produktu peldošo slāni, samazinot to līdz maksimums &lt; 0.01 m biezumam.</w:t>
      </w:r>
    </w:p>
    <w:p w14:paraId="118C6F6D" w14:textId="3CEEAB9D" w:rsidR="006D3A7C" w:rsidRPr="007929B5" w:rsidRDefault="006D3A7C" w:rsidP="006D3A7C">
      <w:pPr>
        <w:jc w:val="both"/>
        <w:rPr>
          <w:rFonts w:ascii="Times New Roman" w:hAnsi="Times New Roman"/>
        </w:rPr>
      </w:pPr>
      <w:r w:rsidRPr="007929B5">
        <w:rPr>
          <w:rFonts w:ascii="Times New Roman" w:hAnsi="Times New Roman"/>
        </w:rPr>
        <w:t>-</w:t>
      </w:r>
      <w:r w:rsidRPr="007929B5">
        <w:rPr>
          <w:rFonts w:ascii="Times New Roman" w:hAnsi="Times New Roman"/>
        </w:rPr>
        <w:tab/>
        <w:t xml:space="preserve">Objektā ir ierīkota </w:t>
      </w:r>
      <w:proofErr w:type="spellStart"/>
      <w:r w:rsidRPr="007929B5">
        <w:rPr>
          <w:rFonts w:ascii="Times New Roman" w:hAnsi="Times New Roman"/>
        </w:rPr>
        <w:t>pēcsanācijas</w:t>
      </w:r>
      <w:proofErr w:type="spellEnd"/>
      <w:r w:rsidRPr="007929B5">
        <w:rPr>
          <w:rFonts w:ascii="Times New Roman" w:hAnsi="Times New Roman"/>
        </w:rPr>
        <w:t xml:space="preserve"> monitoringa sistēma, kas sastāv no 20 gruntsūdens monitoringa akām. Ierīkoto </w:t>
      </w:r>
      <w:proofErr w:type="spellStart"/>
      <w:r w:rsidRPr="007929B5">
        <w:rPr>
          <w:rFonts w:ascii="Times New Roman" w:hAnsi="Times New Roman"/>
        </w:rPr>
        <w:t>pēcsanācijas</w:t>
      </w:r>
      <w:proofErr w:type="spellEnd"/>
      <w:r w:rsidRPr="007929B5">
        <w:rPr>
          <w:rFonts w:ascii="Times New Roman" w:hAnsi="Times New Roman"/>
        </w:rPr>
        <w:t xml:space="preserve"> monitoringa aku izvietojums un tehniskie rādītāji atbilst Darbu programmā noteiktajam. Aku </w:t>
      </w:r>
      <w:proofErr w:type="spellStart"/>
      <w:r w:rsidRPr="007929B5">
        <w:rPr>
          <w:rFonts w:ascii="Times New Roman" w:hAnsi="Times New Roman"/>
        </w:rPr>
        <w:t>noslēgarmatūra</w:t>
      </w:r>
      <w:proofErr w:type="spellEnd"/>
      <w:r w:rsidRPr="007929B5">
        <w:rPr>
          <w:rFonts w:ascii="Times New Roman" w:hAnsi="Times New Roman"/>
        </w:rPr>
        <w:t xml:space="preserve"> ir marķēta, tādējādi nodrošinot tās pret iznīcināšanu</w:t>
      </w:r>
      <w:r w:rsidR="00A71D6E">
        <w:rPr>
          <w:rFonts w:ascii="Times New Roman" w:hAnsi="Times New Roman"/>
        </w:rPr>
        <w:t>.</w:t>
      </w:r>
    </w:p>
    <w:p w14:paraId="2A137CF9" w14:textId="77777777" w:rsidR="00F00FF4" w:rsidRPr="007929B5" w:rsidRDefault="00F00FF4" w:rsidP="00EF4C5C">
      <w:pPr>
        <w:jc w:val="both"/>
        <w:rPr>
          <w:rFonts w:ascii="Times New Roman" w:hAnsi="Times New Roman"/>
        </w:rPr>
      </w:pPr>
    </w:p>
    <w:p w14:paraId="0085BF86" w14:textId="35D4BF80" w:rsidR="00A94987" w:rsidRPr="007929B5" w:rsidRDefault="00F00FF4" w:rsidP="00EF4C5C">
      <w:pPr>
        <w:jc w:val="both"/>
        <w:rPr>
          <w:rFonts w:ascii="Times New Roman" w:hAnsi="Times New Roman"/>
        </w:rPr>
      </w:pPr>
      <w:r w:rsidRPr="007929B5">
        <w:rPr>
          <w:rFonts w:ascii="Times New Roman" w:hAnsi="Times New Roman"/>
        </w:rPr>
        <w:t>PĒCSANĀCIJAS VIDES MONITORINGA SISTĒMA</w:t>
      </w:r>
    </w:p>
    <w:p w14:paraId="443089BC" w14:textId="77777777" w:rsidR="00814058" w:rsidRPr="007929B5" w:rsidRDefault="00814058" w:rsidP="00EF4C5C">
      <w:pPr>
        <w:jc w:val="both"/>
        <w:rPr>
          <w:rFonts w:ascii="Times New Roman" w:hAnsi="Times New Roman"/>
        </w:rPr>
      </w:pPr>
    </w:p>
    <w:p w14:paraId="3633F5D3" w14:textId="3B431740" w:rsidR="00814058" w:rsidRPr="007929B5" w:rsidRDefault="00814058" w:rsidP="00814058">
      <w:pPr>
        <w:jc w:val="both"/>
        <w:rPr>
          <w:rFonts w:ascii="Times New Roman" w:hAnsi="Times New Roman"/>
        </w:rPr>
      </w:pPr>
      <w:proofErr w:type="spellStart"/>
      <w:r w:rsidRPr="007929B5">
        <w:rPr>
          <w:rFonts w:ascii="Times New Roman" w:hAnsi="Times New Roman"/>
        </w:rPr>
        <w:t>Pēcsanācijas</w:t>
      </w:r>
      <w:proofErr w:type="spellEnd"/>
      <w:r w:rsidRPr="007929B5">
        <w:rPr>
          <w:rFonts w:ascii="Times New Roman" w:hAnsi="Times New Roman"/>
        </w:rPr>
        <w:t xml:space="preserve"> monitoringa sistēmā iekļaujamo aku novietojuma </w:t>
      </w:r>
      <w:r w:rsidRPr="00C03A00">
        <w:rPr>
          <w:rFonts w:ascii="Times New Roman" w:hAnsi="Times New Roman"/>
        </w:rPr>
        <w:t>izvēlē</w:t>
      </w:r>
      <w:r w:rsidR="006B04E9" w:rsidRPr="00C03A00">
        <w:rPr>
          <w:rFonts w:ascii="Times New Roman" w:hAnsi="Times New Roman"/>
        </w:rPr>
        <w:t xml:space="preserve"> (2.attēls)</w:t>
      </w:r>
      <w:r w:rsidRPr="00C03A00">
        <w:rPr>
          <w:rFonts w:ascii="Times New Roman" w:hAnsi="Times New Roman"/>
        </w:rPr>
        <w:t xml:space="preserve"> tika ņemti</w:t>
      </w:r>
      <w:r w:rsidRPr="007929B5">
        <w:rPr>
          <w:rFonts w:ascii="Times New Roman" w:hAnsi="Times New Roman"/>
        </w:rPr>
        <w:t xml:space="preserve"> vērā teritorijas ģeoloģiski-hidroģeoloģiskos apstākļi, piesārņojuma izplatības dinamika, līdz 2024. gada janvārim realizēto sanācijas darbu rezultāti, kā arī </w:t>
      </w:r>
      <w:proofErr w:type="spellStart"/>
      <w:r w:rsidRPr="007929B5">
        <w:rPr>
          <w:rFonts w:ascii="Times New Roman" w:hAnsi="Times New Roman"/>
        </w:rPr>
        <w:t>barjersistēmas</w:t>
      </w:r>
      <w:proofErr w:type="spellEnd"/>
      <w:r w:rsidRPr="007929B5">
        <w:rPr>
          <w:rFonts w:ascii="Times New Roman" w:hAnsi="Times New Roman"/>
        </w:rPr>
        <w:t xml:space="preserve"> izvietojumu. Šāds ierīkoto aku izvietojums paredzēts, lai ar monitoringa aku tīklu aptvertu visu objekta teritoriju, iekļautu iespējamo fona paraugu noņemšanas iespēju, </w:t>
      </w:r>
      <w:proofErr w:type="spellStart"/>
      <w:r w:rsidRPr="007929B5">
        <w:rPr>
          <w:rFonts w:ascii="Times New Roman" w:hAnsi="Times New Roman"/>
        </w:rPr>
        <w:t>barjersistēmas</w:t>
      </w:r>
      <w:proofErr w:type="spellEnd"/>
      <w:r w:rsidRPr="007929B5">
        <w:rPr>
          <w:rFonts w:ascii="Times New Roman" w:hAnsi="Times New Roman"/>
        </w:rPr>
        <w:t xml:space="preserve"> apkārtnē pirms un pēc barjeras plūstošo gruntsūdeņu kontroles iespēju, sanācijas – NP atsūknēšanai pakļautā rajona gruntsūdens kvalitātes kontroles iespēju. </w:t>
      </w:r>
    </w:p>
    <w:p w14:paraId="0FDACA20" w14:textId="77777777" w:rsidR="00814058" w:rsidRPr="007929B5" w:rsidRDefault="00814058" w:rsidP="00814058">
      <w:pPr>
        <w:jc w:val="both"/>
        <w:rPr>
          <w:rFonts w:ascii="Times New Roman" w:hAnsi="Times New Roman"/>
        </w:rPr>
      </w:pPr>
    </w:p>
    <w:p w14:paraId="3C498EEA" w14:textId="77777777" w:rsidR="00814058" w:rsidRPr="007929B5" w:rsidRDefault="00814058" w:rsidP="00814058">
      <w:pPr>
        <w:pStyle w:val="Tabulasnosaukums"/>
        <w:rPr>
          <w:rFonts w:ascii="Times New Roman" w:hAnsi="Times New Roman"/>
        </w:rPr>
      </w:pPr>
      <w:r w:rsidRPr="007929B5">
        <w:rPr>
          <w:rFonts w:ascii="Times New Roman" w:hAnsi="Times New Roman"/>
        </w:rPr>
        <w:t>Monitoringa aku galvenie raksturlielumi</w:t>
      </w:r>
    </w:p>
    <w:tbl>
      <w:tblPr>
        <w:tblStyle w:val="Reatabula"/>
        <w:tblW w:w="0" w:type="auto"/>
        <w:tblLook w:val="04A0" w:firstRow="1" w:lastRow="0" w:firstColumn="1" w:lastColumn="0" w:noHBand="0" w:noVBand="1"/>
      </w:tblPr>
      <w:tblGrid>
        <w:gridCol w:w="887"/>
        <w:gridCol w:w="1115"/>
        <w:gridCol w:w="1115"/>
        <w:gridCol w:w="1133"/>
        <w:gridCol w:w="988"/>
        <w:gridCol w:w="1022"/>
        <w:gridCol w:w="1028"/>
        <w:gridCol w:w="1008"/>
      </w:tblGrid>
      <w:tr w:rsidR="00814058" w:rsidRPr="007929B5" w14:paraId="14F01CD2" w14:textId="77777777" w:rsidTr="000E6F5C">
        <w:tc>
          <w:tcPr>
            <w:tcW w:w="1105" w:type="dxa"/>
            <w:vMerge w:val="restart"/>
            <w:shd w:val="clear" w:color="auto" w:fill="002060"/>
            <w:vAlign w:val="center"/>
          </w:tcPr>
          <w:p w14:paraId="6CFC6C3D" w14:textId="77777777" w:rsidR="00814058" w:rsidRPr="007929B5" w:rsidRDefault="00814058" w:rsidP="000E6F5C">
            <w:pPr>
              <w:jc w:val="center"/>
              <w:rPr>
                <w:b/>
                <w:szCs w:val="20"/>
              </w:rPr>
            </w:pPr>
            <w:r w:rsidRPr="007929B5">
              <w:rPr>
                <w:b/>
                <w:szCs w:val="20"/>
              </w:rPr>
              <w:t>Akas</w:t>
            </w:r>
          </w:p>
          <w:p w14:paraId="2AD15A12"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Nr.</w:t>
            </w:r>
          </w:p>
        </w:tc>
        <w:tc>
          <w:tcPr>
            <w:tcW w:w="2334" w:type="dxa"/>
            <w:gridSpan w:val="2"/>
            <w:shd w:val="clear" w:color="auto" w:fill="002060"/>
            <w:vAlign w:val="center"/>
          </w:tcPr>
          <w:p w14:paraId="3C792C65" w14:textId="77777777" w:rsidR="00814058" w:rsidRPr="007929B5" w:rsidRDefault="00814058" w:rsidP="000E6F5C">
            <w:pPr>
              <w:jc w:val="center"/>
              <w:rPr>
                <w:b/>
                <w:szCs w:val="20"/>
              </w:rPr>
            </w:pPr>
            <w:r w:rsidRPr="007929B5">
              <w:rPr>
                <w:b/>
                <w:szCs w:val="20"/>
              </w:rPr>
              <w:t>Koordinātas</w:t>
            </w:r>
          </w:p>
          <w:p w14:paraId="0FA8FFF4"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(LKS – 92)</w:t>
            </w:r>
          </w:p>
        </w:tc>
        <w:tc>
          <w:tcPr>
            <w:tcW w:w="1222" w:type="dxa"/>
            <w:vMerge w:val="restart"/>
            <w:shd w:val="clear" w:color="auto" w:fill="002060"/>
            <w:vAlign w:val="center"/>
          </w:tcPr>
          <w:p w14:paraId="616FDE46"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 xml:space="preserve">Zemes virsas augstuma atzīme, m </w:t>
            </w:r>
            <w:proofErr w:type="spellStart"/>
            <w:r w:rsidRPr="007929B5">
              <w:rPr>
                <w:rFonts w:ascii="Times New Roman" w:hAnsi="Times New Roman"/>
                <w:szCs w:val="20"/>
              </w:rPr>
              <w:t>v.j.l</w:t>
            </w:r>
            <w:proofErr w:type="spellEnd"/>
            <w:r w:rsidRPr="007929B5">
              <w:rPr>
                <w:rFonts w:ascii="Times New Roman" w:hAnsi="Times New Roman"/>
                <w:szCs w:val="20"/>
              </w:rPr>
              <w:t>.</w:t>
            </w:r>
          </w:p>
        </w:tc>
        <w:tc>
          <w:tcPr>
            <w:tcW w:w="1159" w:type="dxa"/>
            <w:vMerge w:val="restart"/>
            <w:shd w:val="clear" w:color="auto" w:fill="002060"/>
            <w:vAlign w:val="center"/>
          </w:tcPr>
          <w:p w14:paraId="1BAF0AD5"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Ūdens līmenis no zemes virsas, m</w:t>
            </w:r>
          </w:p>
        </w:tc>
        <w:tc>
          <w:tcPr>
            <w:tcW w:w="1171" w:type="dxa"/>
            <w:vMerge w:val="restart"/>
            <w:shd w:val="clear" w:color="auto" w:fill="002060"/>
            <w:vAlign w:val="center"/>
          </w:tcPr>
          <w:p w14:paraId="253F5A55"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Akas dziļums no zemes virsas, m</w:t>
            </w:r>
          </w:p>
        </w:tc>
        <w:tc>
          <w:tcPr>
            <w:tcW w:w="1035" w:type="dxa"/>
            <w:vMerge w:val="restart"/>
            <w:shd w:val="clear" w:color="auto" w:fill="002060"/>
            <w:vAlign w:val="center"/>
          </w:tcPr>
          <w:p w14:paraId="0A793743"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Akas diametrs, mm ID</w:t>
            </w:r>
          </w:p>
        </w:tc>
        <w:tc>
          <w:tcPr>
            <w:tcW w:w="1034" w:type="dxa"/>
            <w:vMerge w:val="restart"/>
            <w:shd w:val="clear" w:color="auto" w:fill="002060"/>
            <w:vAlign w:val="center"/>
          </w:tcPr>
          <w:p w14:paraId="6749CAA5"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Filtra kolonnas garums, m</w:t>
            </w:r>
          </w:p>
        </w:tc>
      </w:tr>
      <w:tr w:rsidR="00814058" w:rsidRPr="007929B5" w14:paraId="49233B05" w14:textId="77777777" w:rsidTr="000E6F5C">
        <w:tc>
          <w:tcPr>
            <w:tcW w:w="1105" w:type="dxa"/>
            <w:vMerge/>
            <w:tcBorders>
              <w:bottom w:val="single" w:sz="4" w:space="0" w:color="auto"/>
            </w:tcBorders>
            <w:vAlign w:val="center"/>
          </w:tcPr>
          <w:p w14:paraId="5A8E67F3" w14:textId="77777777" w:rsidR="00814058" w:rsidRPr="007929B5" w:rsidRDefault="00814058" w:rsidP="000E6F5C">
            <w:pPr>
              <w:pStyle w:val="Attlanosaukums"/>
              <w:spacing w:before="0" w:after="0"/>
              <w:rPr>
                <w:rFonts w:ascii="Times New Roman" w:hAnsi="Times New Roman"/>
                <w:szCs w:val="20"/>
              </w:rPr>
            </w:pPr>
          </w:p>
        </w:tc>
        <w:tc>
          <w:tcPr>
            <w:tcW w:w="1167" w:type="dxa"/>
            <w:tcBorders>
              <w:bottom w:val="single" w:sz="4" w:space="0" w:color="auto"/>
            </w:tcBorders>
            <w:shd w:val="clear" w:color="auto" w:fill="002060"/>
            <w:vAlign w:val="center"/>
          </w:tcPr>
          <w:p w14:paraId="2436AFF1"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X</w:t>
            </w:r>
          </w:p>
        </w:tc>
        <w:tc>
          <w:tcPr>
            <w:tcW w:w="1167" w:type="dxa"/>
            <w:tcBorders>
              <w:bottom w:val="single" w:sz="4" w:space="0" w:color="auto"/>
            </w:tcBorders>
            <w:shd w:val="clear" w:color="auto" w:fill="002060"/>
            <w:vAlign w:val="center"/>
          </w:tcPr>
          <w:p w14:paraId="61088225" w14:textId="77777777" w:rsidR="00814058" w:rsidRPr="007929B5" w:rsidRDefault="00814058" w:rsidP="000E6F5C">
            <w:pPr>
              <w:pStyle w:val="Attlanosaukums"/>
              <w:spacing w:before="0" w:after="0"/>
              <w:rPr>
                <w:rFonts w:ascii="Times New Roman" w:hAnsi="Times New Roman"/>
                <w:szCs w:val="20"/>
              </w:rPr>
            </w:pPr>
            <w:r w:rsidRPr="007929B5">
              <w:rPr>
                <w:rFonts w:ascii="Times New Roman" w:hAnsi="Times New Roman"/>
                <w:szCs w:val="20"/>
              </w:rPr>
              <w:t>Y</w:t>
            </w:r>
          </w:p>
        </w:tc>
        <w:tc>
          <w:tcPr>
            <w:tcW w:w="1222" w:type="dxa"/>
            <w:vMerge/>
            <w:tcBorders>
              <w:bottom w:val="single" w:sz="4" w:space="0" w:color="auto"/>
            </w:tcBorders>
            <w:shd w:val="clear" w:color="auto" w:fill="002060"/>
            <w:vAlign w:val="center"/>
          </w:tcPr>
          <w:p w14:paraId="1E75BE3A" w14:textId="77777777" w:rsidR="00814058" w:rsidRPr="007929B5" w:rsidRDefault="00814058" w:rsidP="000E6F5C">
            <w:pPr>
              <w:pStyle w:val="Attlanosaukums"/>
              <w:spacing w:before="0" w:after="0"/>
              <w:rPr>
                <w:rFonts w:ascii="Times New Roman" w:hAnsi="Times New Roman"/>
                <w:szCs w:val="20"/>
              </w:rPr>
            </w:pPr>
          </w:p>
        </w:tc>
        <w:tc>
          <w:tcPr>
            <w:tcW w:w="1159" w:type="dxa"/>
            <w:vMerge/>
            <w:tcBorders>
              <w:bottom w:val="single" w:sz="4" w:space="0" w:color="auto"/>
            </w:tcBorders>
            <w:vAlign w:val="center"/>
          </w:tcPr>
          <w:p w14:paraId="260F896B" w14:textId="77777777" w:rsidR="00814058" w:rsidRPr="007929B5" w:rsidRDefault="00814058" w:rsidP="000E6F5C">
            <w:pPr>
              <w:pStyle w:val="Attlanosaukums"/>
              <w:spacing w:before="0" w:after="0"/>
              <w:rPr>
                <w:rFonts w:ascii="Times New Roman" w:hAnsi="Times New Roman"/>
                <w:szCs w:val="20"/>
              </w:rPr>
            </w:pPr>
          </w:p>
        </w:tc>
        <w:tc>
          <w:tcPr>
            <w:tcW w:w="1171" w:type="dxa"/>
            <w:vMerge/>
            <w:tcBorders>
              <w:bottom w:val="single" w:sz="4" w:space="0" w:color="auto"/>
            </w:tcBorders>
            <w:vAlign w:val="center"/>
          </w:tcPr>
          <w:p w14:paraId="3D179940" w14:textId="77777777" w:rsidR="00814058" w:rsidRPr="007929B5" w:rsidRDefault="00814058" w:rsidP="000E6F5C">
            <w:pPr>
              <w:pStyle w:val="Attlanosaukums"/>
              <w:spacing w:before="0" w:after="0"/>
              <w:rPr>
                <w:rFonts w:ascii="Times New Roman" w:hAnsi="Times New Roman"/>
                <w:szCs w:val="20"/>
              </w:rPr>
            </w:pPr>
          </w:p>
        </w:tc>
        <w:tc>
          <w:tcPr>
            <w:tcW w:w="1035" w:type="dxa"/>
            <w:vMerge/>
            <w:tcBorders>
              <w:bottom w:val="single" w:sz="4" w:space="0" w:color="auto"/>
            </w:tcBorders>
          </w:tcPr>
          <w:p w14:paraId="4D5EFBC0" w14:textId="77777777" w:rsidR="00814058" w:rsidRPr="007929B5" w:rsidRDefault="00814058" w:rsidP="000E6F5C">
            <w:pPr>
              <w:pStyle w:val="Attlanosaukums"/>
              <w:spacing w:before="0" w:after="0"/>
              <w:rPr>
                <w:rFonts w:ascii="Times New Roman" w:hAnsi="Times New Roman"/>
                <w:szCs w:val="20"/>
              </w:rPr>
            </w:pPr>
          </w:p>
        </w:tc>
        <w:tc>
          <w:tcPr>
            <w:tcW w:w="1034" w:type="dxa"/>
            <w:vMerge/>
            <w:tcBorders>
              <w:bottom w:val="single" w:sz="4" w:space="0" w:color="auto"/>
            </w:tcBorders>
            <w:vAlign w:val="center"/>
          </w:tcPr>
          <w:p w14:paraId="4FECC3E0" w14:textId="77777777" w:rsidR="00814058" w:rsidRPr="007929B5" w:rsidRDefault="00814058" w:rsidP="000E6F5C">
            <w:pPr>
              <w:pStyle w:val="Attlanosaukums"/>
              <w:spacing w:before="0" w:after="0"/>
              <w:rPr>
                <w:rFonts w:ascii="Times New Roman" w:hAnsi="Times New Roman"/>
                <w:szCs w:val="20"/>
              </w:rPr>
            </w:pPr>
          </w:p>
        </w:tc>
      </w:tr>
      <w:tr w:rsidR="00814058" w:rsidRPr="007929B5" w14:paraId="21D6A3F8" w14:textId="77777777" w:rsidTr="000E6F5C">
        <w:tc>
          <w:tcPr>
            <w:tcW w:w="1105" w:type="dxa"/>
            <w:tcBorders>
              <w:top w:val="single" w:sz="4" w:space="0" w:color="auto"/>
              <w:bottom w:val="single" w:sz="4" w:space="0" w:color="auto"/>
              <w:right w:val="single" w:sz="4" w:space="0" w:color="auto"/>
            </w:tcBorders>
          </w:tcPr>
          <w:p w14:paraId="679C1611"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VE9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6A076F8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365931.99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A4F6B3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354435.08</w:t>
            </w:r>
          </w:p>
        </w:tc>
        <w:tc>
          <w:tcPr>
            <w:tcW w:w="1222" w:type="dxa"/>
            <w:tcBorders>
              <w:top w:val="single" w:sz="4" w:space="0" w:color="auto"/>
              <w:left w:val="single" w:sz="4" w:space="0" w:color="auto"/>
              <w:bottom w:val="single" w:sz="4" w:space="0" w:color="auto"/>
              <w:right w:val="single" w:sz="4" w:space="0" w:color="auto"/>
            </w:tcBorders>
          </w:tcPr>
          <w:p w14:paraId="13D0BB2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11.35</w:t>
            </w:r>
          </w:p>
        </w:tc>
        <w:tc>
          <w:tcPr>
            <w:tcW w:w="1159" w:type="dxa"/>
            <w:tcBorders>
              <w:top w:val="single" w:sz="4" w:space="0" w:color="auto"/>
              <w:left w:val="single" w:sz="4" w:space="0" w:color="auto"/>
              <w:bottom w:val="single" w:sz="4" w:space="0" w:color="auto"/>
              <w:right w:val="single" w:sz="4" w:space="0" w:color="auto"/>
            </w:tcBorders>
            <w:vAlign w:val="bottom"/>
          </w:tcPr>
          <w:p w14:paraId="49A98EE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5.67</w:t>
            </w:r>
          </w:p>
        </w:tc>
        <w:tc>
          <w:tcPr>
            <w:tcW w:w="1171" w:type="dxa"/>
            <w:tcBorders>
              <w:top w:val="single" w:sz="4" w:space="0" w:color="auto"/>
              <w:left w:val="single" w:sz="4" w:space="0" w:color="auto"/>
              <w:bottom w:val="single" w:sz="4" w:space="0" w:color="auto"/>
              <w:right w:val="single" w:sz="4" w:space="0" w:color="auto"/>
            </w:tcBorders>
          </w:tcPr>
          <w:p w14:paraId="08DC20CB"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7.00</w:t>
            </w:r>
          </w:p>
        </w:tc>
        <w:tc>
          <w:tcPr>
            <w:tcW w:w="1035" w:type="dxa"/>
            <w:tcBorders>
              <w:top w:val="single" w:sz="4" w:space="0" w:color="auto"/>
              <w:left w:val="single" w:sz="4" w:space="0" w:color="auto"/>
              <w:bottom w:val="single" w:sz="4" w:space="0" w:color="auto"/>
              <w:right w:val="single" w:sz="4" w:space="0" w:color="auto"/>
            </w:tcBorders>
          </w:tcPr>
          <w:p w14:paraId="7FE2BC4C"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385EA46C"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53D36B18" w14:textId="77777777" w:rsidTr="000E6F5C">
        <w:tc>
          <w:tcPr>
            <w:tcW w:w="1105" w:type="dxa"/>
            <w:tcBorders>
              <w:top w:val="single" w:sz="4" w:space="0" w:color="auto"/>
              <w:bottom w:val="single" w:sz="4" w:space="0" w:color="auto"/>
              <w:right w:val="single" w:sz="4" w:space="0" w:color="auto"/>
            </w:tcBorders>
          </w:tcPr>
          <w:p w14:paraId="425D27AD"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lastRenderedPageBreak/>
              <w:t>VE11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0AC7F5B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365940.93</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42AF7A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354293.62</w:t>
            </w:r>
          </w:p>
        </w:tc>
        <w:tc>
          <w:tcPr>
            <w:tcW w:w="1222" w:type="dxa"/>
            <w:tcBorders>
              <w:top w:val="single" w:sz="4" w:space="0" w:color="auto"/>
              <w:left w:val="single" w:sz="4" w:space="0" w:color="auto"/>
              <w:bottom w:val="single" w:sz="4" w:space="0" w:color="auto"/>
              <w:right w:val="single" w:sz="4" w:space="0" w:color="auto"/>
            </w:tcBorders>
            <w:vAlign w:val="bottom"/>
          </w:tcPr>
          <w:p w14:paraId="6F6A9628"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8.52</w:t>
            </w:r>
          </w:p>
        </w:tc>
        <w:tc>
          <w:tcPr>
            <w:tcW w:w="1159" w:type="dxa"/>
            <w:tcBorders>
              <w:top w:val="single" w:sz="4" w:space="0" w:color="auto"/>
              <w:left w:val="single" w:sz="4" w:space="0" w:color="auto"/>
              <w:bottom w:val="single" w:sz="4" w:space="0" w:color="auto"/>
              <w:right w:val="single" w:sz="4" w:space="0" w:color="auto"/>
            </w:tcBorders>
            <w:vAlign w:val="bottom"/>
          </w:tcPr>
          <w:p w14:paraId="670F5EFC"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3.58</w:t>
            </w:r>
          </w:p>
        </w:tc>
        <w:tc>
          <w:tcPr>
            <w:tcW w:w="1171" w:type="dxa"/>
            <w:tcBorders>
              <w:top w:val="single" w:sz="4" w:space="0" w:color="auto"/>
              <w:left w:val="single" w:sz="4" w:space="0" w:color="auto"/>
              <w:bottom w:val="single" w:sz="4" w:space="0" w:color="auto"/>
              <w:right w:val="single" w:sz="4" w:space="0" w:color="auto"/>
            </w:tcBorders>
          </w:tcPr>
          <w:p w14:paraId="53BBDD7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5.00</w:t>
            </w:r>
          </w:p>
        </w:tc>
        <w:tc>
          <w:tcPr>
            <w:tcW w:w="1035" w:type="dxa"/>
            <w:tcBorders>
              <w:top w:val="single" w:sz="4" w:space="0" w:color="auto"/>
              <w:left w:val="single" w:sz="4" w:space="0" w:color="auto"/>
              <w:bottom w:val="single" w:sz="4" w:space="0" w:color="auto"/>
              <w:right w:val="single" w:sz="4" w:space="0" w:color="auto"/>
            </w:tcBorders>
          </w:tcPr>
          <w:p w14:paraId="692BD1A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5115FE8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3D6B3081" w14:textId="77777777" w:rsidTr="000E6F5C">
        <w:tc>
          <w:tcPr>
            <w:tcW w:w="1105" w:type="dxa"/>
            <w:tcBorders>
              <w:top w:val="single" w:sz="4" w:space="0" w:color="auto"/>
              <w:bottom w:val="single" w:sz="4" w:space="0" w:color="auto"/>
              <w:right w:val="single" w:sz="4" w:space="0" w:color="auto"/>
            </w:tcBorders>
          </w:tcPr>
          <w:p w14:paraId="70C06BEE"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VE15</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20F97F1A"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365666.60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1E8DC2D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354140.87</w:t>
            </w:r>
          </w:p>
        </w:tc>
        <w:tc>
          <w:tcPr>
            <w:tcW w:w="1222" w:type="dxa"/>
            <w:tcBorders>
              <w:top w:val="single" w:sz="4" w:space="0" w:color="auto"/>
              <w:left w:val="single" w:sz="4" w:space="0" w:color="auto"/>
              <w:bottom w:val="single" w:sz="4" w:space="0" w:color="auto"/>
              <w:right w:val="single" w:sz="4" w:space="0" w:color="auto"/>
            </w:tcBorders>
            <w:vAlign w:val="bottom"/>
          </w:tcPr>
          <w:p w14:paraId="3F77928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9.44</w:t>
            </w:r>
          </w:p>
        </w:tc>
        <w:tc>
          <w:tcPr>
            <w:tcW w:w="1159" w:type="dxa"/>
            <w:tcBorders>
              <w:top w:val="single" w:sz="4" w:space="0" w:color="auto"/>
              <w:left w:val="single" w:sz="4" w:space="0" w:color="auto"/>
              <w:bottom w:val="single" w:sz="4" w:space="0" w:color="auto"/>
              <w:right w:val="single" w:sz="4" w:space="0" w:color="auto"/>
            </w:tcBorders>
            <w:vAlign w:val="bottom"/>
          </w:tcPr>
          <w:p w14:paraId="693C631C"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4.66</w:t>
            </w:r>
          </w:p>
        </w:tc>
        <w:tc>
          <w:tcPr>
            <w:tcW w:w="1171" w:type="dxa"/>
            <w:tcBorders>
              <w:top w:val="single" w:sz="4" w:space="0" w:color="auto"/>
              <w:left w:val="single" w:sz="4" w:space="0" w:color="auto"/>
              <w:bottom w:val="single" w:sz="4" w:space="0" w:color="auto"/>
              <w:right w:val="single" w:sz="4" w:space="0" w:color="auto"/>
            </w:tcBorders>
          </w:tcPr>
          <w:p w14:paraId="4CB319D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6.30</w:t>
            </w:r>
          </w:p>
        </w:tc>
        <w:tc>
          <w:tcPr>
            <w:tcW w:w="1035" w:type="dxa"/>
            <w:tcBorders>
              <w:top w:val="single" w:sz="4" w:space="0" w:color="auto"/>
              <w:left w:val="single" w:sz="4" w:space="0" w:color="auto"/>
              <w:bottom w:val="single" w:sz="4" w:space="0" w:color="auto"/>
              <w:right w:val="single" w:sz="4" w:space="0" w:color="auto"/>
            </w:tcBorders>
          </w:tcPr>
          <w:p w14:paraId="0DF4145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67BC49E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133E9770" w14:textId="77777777" w:rsidTr="000E6F5C">
        <w:tc>
          <w:tcPr>
            <w:tcW w:w="1105" w:type="dxa"/>
            <w:tcBorders>
              <w:top w:val="single" w:sz="4" w:space="0" w:color="auto"/>
              <w:bottom w:val="single" w:sz="4" w:space="0" w:color="auto"/>
              <w:right w:val="single" w:sz="4" w:space="0" w:color="auto"/>
            </w:tcBorders>
          </w:tcPr>
          <w:p w14:paraId="543090B1"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VE21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662BA93F"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365766.53</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408B2A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354132.93</w:t>
            </w:r>
          </w:p>
        </w:tc>
        <w:tc>
          <w:tcPr>
            <w:tcW w:w="1222" w:type="dxa"/>
            <w:tcBorders>
              <w:top w:val="single" w:sz="4" w:space="0" w:color="auto"/>
              <w:left w:val="single" w:sz="4" w:space="0" w:color="auto"/>
              <w:bottom w:val="single" w:sz="4" w:space="0" w:color="auto"/>
              <w:right w:val="single" w:sz="4" w:space="0" w:color="auto"/>
            </w:tcBorders>
            <w:vAlign w:val="bottom"/>
          </w:tcPr>
          <w:p w14:paraId="4CBA5F3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8.73</w:t>
            </w:r>
          </w:p>
        </w:tc>
        <w:tc>
          <w:tcPr>
            <w:tcW w:w="1159" w:type="dxa"/>
            <w:tcBorders>
              <w:top w:val="single" w:sz="4" w:space="0" w:color="auto"/>
              <w:left w:val="single" w:sz="4" w:space="0" w:color="auto"/>
              <w:bottom w:val="single" w:sz="4" w:space="0" w:color="auto"/>
              <w:right w:val="single" w:sz="4" w:space="0" w:color="auto"/>
            </w:tcBorders>
            <w:vAlign w:val="bottom"/>
          </w:tcPr>
          <w:p w14:paraId="24E2F9A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3.88</w:t>
            </w:r>
          </w:p>
        </w:tc>
        <w:tc>
          <w:tcPr>
            <w:tcW w:w="1171" w:type="dxa"/>
            <w:tcBorders>
              <w:top w:val="single" w:sz="4" w:space="0" w:color="auto"/>
              <w:left w:val="single" w:sz="4" w:space="0" w:color="auto"/>
              <w:bottom w:val="single" w:sz="4" w:space="0" w:color="auto"/>
              <w:right w:val="single" w:sz="4" w:space="0" w:color="auto"/>
            </w:tcBorders>
          </w:tcPr>
          <w:p w14:paraId="3290322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6.00</w:t>
            </w:r>
          </w:p>
        </w:tc>
        <w:tc>
          <w:tcPr>
            <w:tcW w:w="1035" w:type="dxa"/>
            <w:tcBorders>
              <w:top w:val="single" w:sz="4" w:space="0" w:color="auto"/>
              <w:left w:val="single" w:sz="4" w:space="0" w:color="auto"/>
              <w:bottom w:val="single" w:sz="4" w:space="0" w:color="auto"/>
              <w:right w:val="single" w:sz="4" w:space="0" w:color="auto"/>
            </w:tcBorders>
          </w:tcPr>
          <w:p w14:paraId="60E06AF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1C736D8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01E911E3" w14:textId="77777777" w:rsidTr="000E6F5C">
        <w:tc>
          <w:tcPr>
            <w:tcW w:w="1105" w:type="dxa"/>
            <w:tcBorders>
              <w:top w:val="single" w:sz="4" w:space="0" w:color="auto"/>
              <w:bottom w:val="single" w:sz="4" w:space="0" w:color="auto"/>
              <w:right w:val="single" w:sz="4" w:space="0" w:color="auto"/>
            </w:tcBorders>
          </w:tcPr>
          <w:p w14:paraId="634455AA"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VE24</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F973A8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366010.35</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77ACB909"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354229.15</w:t>
            </w:r>
          </w:p>
        </w:tc>
        <w:tc>
          <w:tcPr>
            <w:tcW w:w="1222" w:type="dxa"/>
            <w:tcBorders>
              <w:top w:val="single" w:sz="4" w:space="0" w:color="auto"/>
              <w:left w:val="single" w:sz="4" w:space="0" w:color="auto"/>
              <w:bottom w:val="single" w:sz="4" w:space="0" w:color="auto"/>
              <w:right w:val="single" w:sz="4" w:space="0" w:color="auto"/>
            </w:tcBorders>
            <w:vAlign w:val="bottom"/>
          </w:tcPr>
          <w:p w14:paraId="38437B5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6.58</w:t>
            </w:r>
          </w:p>
        </w:tc>
        <w:tc>
          <w:tcPr>
            <w:tcW w:w="1159" w:type="dxa"/>
            <w:tcBorders>
              <w:top w:val="single" w:sz="4" w:space="0" w:color="auto"/>
              <w:left w:val="single" w:sz="4" w:space="0" w:color="auto"/>
              <w:bottom w:val="single" w:sz="4" w:space="0" w:color="auto"/>
              <w:right w:val="single" w:sz="4" w:space="0" w:color="auto"/>
            </w:tcBorders>
            <w:vAlign w:val="bottom"/>
          </w:tcPr>
          <w:p w14:paraId="0FE08A9C"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2.47</w:t>
            </w:r>
          </w:p>
        </w:tc>
        <w:tc>
          <w:tcPr>
            <w:tcW w:w="1171" w:type="dxa"/>
            <w:tcBorders>
              <w:top w:val="single" w:sz="4" w:space="0" w:color="auto"/>
              <w:left w:val="single" w:sz="4" w:space="0" w:color="auto"/>
              <w:bottom w:val="single" w:sz="4" w:space="0" w:color="auto"/>
              <w:right w:val="single" w:sz="4" w:space="0" w:color="auto"/>
            </w:tcBorders>
          </w:tcPr>
          <w:p w14:paraId="343244C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4.50</w:t>
            </w:r>
          </w:p>
        </w:tc>
        <w:tc>
          <w:tcPr>
            <w:tcW w:w="1035" w:type="dxa"/>
            <w:tcBorders>
              <w:top w:val="single" w:sz="4" w:space="0" w:color="auto"/>
              <w:left w:val="single" w:sz="4" w:space="0" w:color="auto"/>
              <w:bottom w:val="single" w:sz="4" w:space="0" w:color="auto"/>
              <w:right w:val="single" w:sz="4" w:space="0" w:color="auto"/>
            </w:tcBorders>
          </w:tcPr>
          <w:p w14:paraId="0784A84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0737C76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72C5DD4E" w14:textId="77777777" w:rsidTr="000E6F5C">
        <w:tc>
          <w:tcPr>
            <w:tcW w:w="1105" w:type="dxa"/>
            <w:tcBorders>
              <w:top w:val="single" w:sz="4" w:space="0" w:color="auto"/>
              <w:bottom w:val="single" w:sz="4" w:space="0" w:color="auto"/>
              <w:right w:val="single" w:sz="4" w:space="0" w:color="auto"/>
            </w:tcBorders>
          </w:tcPr>
          <w:p w14:paraId="655FDAAC"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VE29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2954F4F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365830.39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45A71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353992.31</w:t>
            </w:r>
          </w:p>
        </w:tc>
        <w:tc>
          <w:tcPr>
            <w:tcW w:w="1222" w:type="dxa"/>
            <w:tcBorders>
              <w:top w:val="single" w:sz="4" w:space="0" w:color="auto"/>
              <w:left w:val="single" w:sz="4" w:space="0" w:color="auto"/>
              <w:bottom w:val="single" w:sz="4" w:space="0" w:color="auto"/>
              <w:right w:val="single" w:sz="4" w:space="0" w:color="auto"/>
            </w:tcBorders>
            <w:vAlign w:val="bottom"/>
          </w:tcPr>
          <w:p w14:paraId="7A2788D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4.89</w:t>
            </w:r>
          </w:p>
        </w:tc>
        <w:tc>
          <w:tcPr>
            <w:tcW w:w="1159" w:type="dxa"/>
            <w:tcBorders>
              <w:top w:val="single" w:sz="4" w:space="0" w:color="auto"/>
              <w:left w:val="single" w:sz="4" w:space="0" w:color="auto"/>
              <w:bottom w:val="single" w:sz="4" w:space="0" w:color="auto"/>
              <w:right w:val="single" w:sz="4" w:space="0" w:color="auto"/>
            </w:tcBorders>
            <w:vAlign w:val="bottom"/>
          </w:tcPr>
          <w:p w14:paraId="59B8E95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1.67</w:t>
            </w:r>
          </w:p>
        </w:tc>
        <w:tc>
          <w:tcPr>
            <w:tcW w:w="1171" w:type="dxa"/>
            <w:tcBorders>
              <w:top w:val="single" w:sz="4" w:space="0" w:color="auto"/>
              <w:left w:val="single" w:sz="4" w:space="0" w:color="auto"/>
              <w:bottom w:val="single" w:sz="4" w:space="0" w:color="auto"/>
              <w:right w:val="single" w:sz="4" w:space="0" w:color="auto"/>
            </w:tcBorders>
          </w:tcPr>
          <w:p w14:paraId="25DC444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3.70</w:t>
            </w:r>
          </w:p>
        </w:tc>
        <w:tc>
          <w:tcPr>
            <w:tcW w:w="1035" w:type="dxa"/>
            <w:tcBorders>
              <w:top w:val="single" w:sz="4" w:space="0" w:color="auto"/>
              <w:left w:val="single" w:sz="4" w:space="0" w:color="auto"/>
              <w:bottom w:val="single" w:sz="4" w:space="0" w:color="auto"/>
              <w:right w:val="single" w:sz="4" w:space="0" w:color="auto"/>
            </w:tcBorders>
          </w:tcPr>
          <w:p w14:paraId="0E3384C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69796FE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10E06DA5" w14:textId="77777777" w:rsidTr="000E6F5C">
        <w:tc>
          <w:tcPr>
            <w:tcW w:w="1105" w:type="dxa"/>
            <w:tcBorders>
              <w:top w:val="single" w:sz="4" w:space="0" w:color="auto"/>
              <w:bottom w:val="single" w:sz="4" w:space="0" w:color="auto"/>
              <w:right w:val="single" w:sz="4" w:space="0" w:color="auto"/>
            </w:tcBorders>
          </w:tcPr>
          <w:p w14:paraId="2BC7FFFC"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2B429C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365854.49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4B2CEB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354169.66</w:t>
            </w:r>
          </w:p>
        </w:tc>
        <w:tc>
          <w:tcPr>
            <w:tcW w:w="1222" w:type="dxa"/>
            <w:tcBorders>
              <w:top w:val="single" w:sz="4" w:space="0" w:color="auto"/>
              <w:left w:val="single" w:sz="4" w:space="0" w:color="auto"/>
              <w:bottom w:val="single" w:sz="4" w:space="0" w:color="auto"/>
              <w:right w:val="single" w:sz="4" w:space="0" w:color="auto"/>
            </w:tcBorders>
            <w:vAlign w:val="bottom"/>
          </w:tcPr>
          <w:p w14:paraId="1AB046A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7.82</w:t>
            </w:r>
          </w:p>
        </w:tc>
        <w:tc>
          <w:tcPr>
            <w:tcW w:w="1159" w:type="dxa"/>
            <w:tcBorders>
              <w:top w:val="single" w:sz="4" w:space="0" w:color="auto"/>
              <w:left w:val="single" w:sz="4" w:space="0" w:color="auto"/>
              <w:bottom w:val="single" w:sz="4" w:space="0" w:color="auto"/>
              <w:right w:val="single" w:sz="4" w:space="0" w:color="auto"/>
            </w:tcBorders>
            <w:vAlign w:val="bottom"/>
          </w:tcPr>
          <w:p w14:paraId="7792384C"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2.90</w:t>
            </w:r>
          </w:p>
        </w:tc>
        <w:tc>
          <w:tcPr>
            <w:tcW w:w="1171" w:type="dxa"/>
            <w:tcBorders>
              <w:top w:val="single" w:sz="4" w:space="0" w:color="auto"/>
              <w:left w:val="single" w:sz="4" w:space="0" w:color="auto"/>
              <w:bottom w:val="single" w:sz="4" w:space="0" w:color="auto"/>
              <w:right w:val="single" w:sz="4" w:space="0" w:color="auto"/>
            </w:tcBorders>
          </w:tcPr>
          <w:p w14:paraId="3F86A31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5.30</w:t>
            </w:r>
          </w:p>
        </w:tc>
        <w:tc>
          <w:tcPr>
            <w:tcW w:w="1035" w:type="dxa"/>
            <w:tcBorders>
              <w:top w:val="single" w:sz="4" w:space="0" w:color="auto"/>
              <w:left w:val="single" w:sz="4" w:space="0" w:color="auto"/>
              <w:bottom w:val="single" w:sz="4" w:space="0" w:color="auto"/>
              <w:right w:val="single" w:sz="4" w:space="0" w:color="auto"/>
            </w:tcBorders>
          </w:tcPr>
          <w:p w14:paraId="2B2B56F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38B4F32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4BB3E047" w14:textId="77777777" w:rsidTr="000E6F5C">
        <w:tc>
          <w:tcPr>
            <w:tcW w:w="1105" w:type="dxa"/>
            <w:tcBorders>
              <w:top w:val="single" w:sz="4" w:space="0" w:color="auto"/>
              <w:bottom w:val="single" w:sz="4" w:space="0" w:color="auto"/>
              <w:right w:val="single" w:sz="4" w:space="0" w:color="auto"/>
            </w:tcBorders>
          </w:tcPr>
          <w:p w14:paraId="0CDB03F3"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9332CCF"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365916.89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B4AEF7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354089.50</w:t>
            </w:r>
          </w:p>
        </w:tc>
        <w:tc>
          <w:tcPr>
            <w:tcW w:w="1222" w:type="dxa"/>
            <w:tcBorders>
              <w:top w:val="single" w:sz="4" w:space="0" w:color="auto"/>
              <w:left w:val="single" w:sz="4" w:space="0" w:color="auto"/>
              <w:bottom w:val="single" w:sz="4" w:space="0" w:color="auto"/>
              <w:right w:val="single" w:sz="4" w:space="0" w:color="auto"/>
            </w:tcBorders>
            <w:vAlign w:val="bottom"/>
          </w:tcPr>
          <w:p w14:paraId="14D29D0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4.89</w:t>
            </w:r>
          </w:p>
        </w:tc>
        <w:tc>
          <w:tcPr>
            <w:tcW w:w="1159" w:type="dxa"/>
            <w:tcBorders>
              <w:top w:val="single" w:sz="4" w:space="0" w:color="auto"/>
              <w:left w:val="single" w:sz="4" w:space="0" w:color="auto"/>
              <w:bottom w:val="single" w:sz="4" w:space="0" w:color="auto"/>
              <w:right w:val="single" w:sz="4" w:space="0" w:color="auto"/>
            </w:tcBorders>
            <w:vAlign w:val="bottom"/>
          </w:tcPr>
          <w:p w14:paraId="6EDDD5E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1.57</w:t>
            </w:r>
          </w:p>
        </w:tc>
        <w:tc>
          <w:tcPr>
            <w:tcW w:w="1171" w:type="dxa"/>
            <w:tcBorders>
              <w:top w:val="single" w:sz="4" w:space="0" w:color="auto"/>
              <w:left w:val="single" w:sz="4" w:space="0" w:color="auto"/>
              <w:bottom w:val="single" w:sz="4" w:space="0" w:color="auto"/>
              <w:right w:val="single" w:sz="4" w:space="0" w:color="auto"/>
            </w:tcBorders>
          </w:tcPr>
          <w:p w14:paraId="4F62DA2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3.75</w:t>
            </w:r>
          </w:p>
        </w:tc>
        <w:tc>
          <w:tcPr>
            <w:tcW w:w="1035" w:type="dxa"/>
            <w:tcBorders>
              <w:top w:val="single" w:sz="4" w:space="0" w:color="auto"/>
              <w:left w:val="single" w:sz="4" w:space="0" w:color="auto"/>
              <w:bottom w:val="single" w:sz="4" w:space="0" w:color="auto"/>
              <w:right w:val="single" w:sz="4" w:space="0" w:color="auto"/>
            </w:tcBorders>
          </w:tcPr>
          <w:p w14:paraId="1E57D3A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2A604E98"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2A910E7A" w14:textId="77777777" w:rsidTr="000E6F5C">
        <w:tc>
          <w:tcPr>
            <w:tcW w:w="1105" w:type="dxa"/>
            <w:tcBorders>
              <w:top w:val="single" w:sz="4" w:space="0" w:color="auto"/>
              <w:bottom w:val="single" w:sz="4" w:space="0" w:color="auto"/>
              <w:right w:val="single" w:sz="4" w:space="0" w:color="auto"/>
            </w:tcBorders>
          </w:tcPr>
          <w:p w14:paraId="4EAFF370"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162</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F1ADBE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365991.15</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5472894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354141.31</w:t>
            </w:r>
          </w:p>
        </w:tc>
        <w:tc>
          <w:tcPr>
            <w:tcW w:w="1222" w:type="dxa"/>
            <w:tcBorders>
              <w:top w:val="single" w:sz="4" w:space="0" w:color="auto"/>
              <w:left w:val="single" w:sz="4" w:space="0" w:color="auto"/>
              <w:bottom w:val="single" w:sz="4" w:space="0" w:color="auto"/>
              <w:right w:val="single" w:sz="4" w:space="0" w:color="auto"/>
            </w:tcBorders>
            <w:vAlign w:val="bottom"/>
          </w:tcPr>
          <w:p w14:paraId="49084AC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3.86</w:t>
            </w:r>
          </w:p>
        </w:tc>
        <w:tc>
          <w:tcPr>
            <w:tcW w:w="1159" w:type="dxa"/>
            <w:tcBorders>
              <w:top w:val="single" w:sz="4" w:space="0" w:color="auto"/>
              <w:left w:val="single" w:sz="4" w:space="0" w:color="auto"/>
              <w:bottom w:val="single" w:sz="4" w:space="0" w:color="auto"/>
              <w:right w:val="single" w:sz="4" w:space="0" w:color="auto"/>
            </w:tcBorders>
            <w:vAlign w:val="bottom"/>
          </w:tcPr>
          <w:p w14:paraId="5E293E5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0.37</w:t>
            </w:r>
          </w:p>
        </w:tc>
        <w:tc>
          <w:tcPr>
            <w:tcW w:w="1171" w:type="dxa"/>
            <w:tcBorders>
              <w:top w:val="single" w:sz="4" w:space="0" w:color="auto"/>
              <w:left w:val="single" w:sz="4" w:space="0" w:color="auto"/>
              <w:bottom w:val="single" w:sz="4" w:space="0" w:color="auto"/>
              <w:right w:val="single" w:sz="4" w:space="0" w:color="auto"/>
            </w:tcBorders>
          </w:tcPr>
          <w:p w14:paraId="6F4929C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2.45</w:t>
            </w:r>
          </w:p>
        </w:tc>
        <w:tc>
          <w:tcPr>
            <w:tcW w:w="1035" w:type="dxa"/>
            <w:tcBorders>
              <w:top w:val="single" w:sz="4" w:space="0" w:color="auto"/>
              <w:left w:val="single" w:sz="4" w:space="0" w:color="auto"/>
              <w:bottom w:val="single" w:sz="4" w:space="0" w:color="auto"/>
              <w:right w:val="single" w:sz="4" w:space="0" w:color="auto"/>
            </w:tcBorders>
          </w:tcPr>
          <w:p w14:paraId="64D3BA0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2993EA5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2.0</w:t>
            </w:r>
          </w:p>
        </w:tc>
      </w:tr>
      <w:tr w:rsidR="00814058" w:rsidRPr="007929B5" w14:paraId="0CB27D64" w14:textId="77777777" w:rsidTr="000E6F5C">
        <w:tc>
          <w:tcPr>
            <w:tcW w:w="1105" w:type="dxa"/>
            <w:tcBorders>
              <w:top w:val="single" w:sz="4" w:space="0" w:color="auto"/>
              <w:bottom w:val="single" w:sz="4" w:space="0" w:color="auto"/>
              <w:right w:val="single" w:sz="4" w:space="0" w:color="auto"/>
            </w:tcBorders>
          </w:tcPr>
          <w:p w14:paraId="19E52B20"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163</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07B4251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366015.79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24FEF118"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354093.48</w:t>
            </w:r>
          </w:p>
        </w:tc>
        <w:tc>
          <w:tcPr>
            <w:tcW w:w="1222" w:type="dxa"/>
            <w:tcBorders>
              <w:top w:val="single" w:sz="4" w:space="0" w:color="auto"/>
              <w:left w:val="single" w:sz="4" w:space="0" w:color="auto"/>
              <w:bottom w:val="single" w:sz="4" w:space="0" w:color="auto"/>
              <w:right w:val="single" w:sz="4" w:space="0" w:color="auto"/>
            </w:tcBorders>
            <w:vAlign w:val="bottom"/>
          </w:tcPr>
          <w:p w14:paraId="6373D91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3.51</w:t>
            </w:r>
          </w:p>
        </w:tc>
        <w:tc>
          <w:tcPr>
            <w:tcW w:w="1159" w:type="dxa"/>
            <w:tcBorders>
              <w:top w:val="single" w:sz="4" w:space="0" w:color="auto"/>
              <w:left w:val="single" w:sz="4" w:space="0" w:color="auto"/>
              <w:bottom w:val="single" w:sz="4" w:space="0" w:color="auto"/>
              <w:right w:val="single" w:sz="4" w:space="0" w:color="auto"/>
            </w:tcBorders>
            <w:vAlign w:val="bottom"/>
          </w:tcPr>
          <w:p w14:paraId="6E5D44F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0.79</w:t>
            </w:r>
          </w:p>
        </w:tc>
        <w:tc>
          <w:tcPr>
            <w:tcW w:w="1171" w:type="dxa"/>
            <w:tcBorders>
              <w:top w:val="single" w:sz="4" w:space="0" w:color="auto"/>
              <w:left w:val="single" w:sz="4" w:space="0" w:color="auto"/>
              <w:bottom w:val="single" w:sz="4" w:space="0" w:color="auto"/>
              <w:right w:val="single" w:sz="4" w:space="0" w:color="auto"/>
            </w:tcBorders>
          </w:tcPr>
          <w:p w14:paraId="0B2B953F"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2.40</w:t>
            </w:r>
          </w:p>
        </w:tc>
        <w:tc>
          <w:tcPr>
            <w:tcW w:w="1035" w:type="dxa"/>
            <w:tcBorders>
              <w:top w:val="single" w:sz="4" w:space="0" w:color="auto"/>
              <w:left w:val="single" w:sz="4" w:space="0" w:color="auto"/>
              <w:bottom w:val="single" w:sz="4" w:space="0" w:color="auto"/>
              <w:right w:val="single" w:sz="4" w:space="0" w:color="auto"/>
            </w:tcBorders>
          </w:tcPr>
          <w:p w14:paraId="2209396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56EAE72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2.0</w:t>
            </w:r>
          </w:p>
        </w:tc>
      </w:tr>
      <w:tr w:rsidR="00814058" w:rsidRPr="007929B5" w14:paraId="44D11E07" w14:textId="77777777" w:rsidTr="000E6F5C">
        <w:tc>
          <w:tcPr>
            <w:tcW w:w="1105" w:type="dxa"/>
            <w:tcBorders>
              <w:top w:val="single" w:sz="4" w:space="0" w:color="auto"/>
              <w:bottom w:val="single" w:sz="4" w:space="0" w:color="auto"/>
              <w:right w:val="single" w:sz="4" w:space="0" w:color="auto"/>
            </w:tcBorders>
          </w:tcPr>
          <w:p w14:paraId="36811DFA"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164</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1267BF9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365987.17</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12DA71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354004.79</w:t>
            </w:r>
          </w:p>
        </w:tc>
        <w:tc>
          <w:tcPr>
            <w:tcW w:w="1222" w:type="dxa"/>
            <w:tcBorders>
              <w:top w:val="single" w:sz="4" w:space="0" w:color="auto"/>
              <w:left w:val="single" w:sz="4" w:space="0" w:color="auto"/>
              <w:bottom w:val="single" w:sz="4" w:space="0" w:color="auto"/>
              <w:right w:val="single" w:sz="4" w:space="0" w:color="auto"/>
            </w:tcBorders>
            <w:vAlign w:val="bottom"/>
          </w:tcPr>
          <w:p w14:paraId="3F6F459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2.45</w:t>
            </w:r>
          </w:p>
        </w:tc>
        <w:tc>
          <w:tcPr>
            <w:tcW w:w="1159" w:type="dxa"/>
            <w:tcBorders>
              <w:top w:val="single" w:sz="4" w:space="0" w:color="auto"/>
              <w:left w:val="single" w:sz="4" w:space="0" w:color="auto"/>
              <w:bottom w:val="single" w:sz="4" w:space="0" w:color="auto"/>
              <w:right w:val="single" w:sz="4" w:space="0" w:color="auto"/>
            </w:tcBorders>
            <w:vAlign w:val="bottom"/>
          </w:tcPr>
          <w:p w14:paraId="2ACE7D5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1.17</w:t>
            </w:r>
          </w:p>
        </w:tc>
        <w:tc>
          <w:tcPr>
            <w:tcW w:w="1171" w:type="dxa"/>
            <w:tcBorders>
              <w:top w:val="single" w:sz="4" w:space="0" w:color="auto"/>
              <w:left w:val="single" w:sz="4" w:space="0" w:color="auto"/>
              <w:bottom w:val="single" w:sz="4" w:space="0" w:color="auto"/>
              <w:right w:val="single" w:sz="4" w:space="0" w:color="auto"/>
            </w:tcBorders>
          </w:tcPr>
          <w:p w14:paraId="4EAB3C4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2.50</w:t>
            </w:r>
          </w:p>
        </w:tc>
        <w:tc>
          <w:tcPr>
            <w:tcW w:w="1035" w:type="dxa"/>
            <w:tcBorders>
              <w:top w:val="single" w:sz="4" w:space="0" w:color="auto"/>
              <w:left w:val="single" w:sz="4" w:space="0" w:color="auto"/>
              <w:bottom w:val="single" w:sz="4" w:space="0" w:color="auto"/>
              <w:right w:val="single" w:sz="4" w:space="0" w:color="auto"/>
            </w:tcBorders>
          </w:tcPr>
          <w:p w14:paraId="1A339F0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4968640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2.0</w:t>
            </w:r>
          </w:p>
        </w:tc>
      </w:tr>
      <w:tr w:rsidR="00814058" w:rsidRPr="007929B5" w14:paraId="25CCD659" w14:textId="77777777" w:rsidTr="000E6F5C">
        <w:tc>
          <w:tcPr>
            <w:tcW w:w="1105" w:type="dxa"/>
            <w:tcBorders>
              <w:top w:val="single" w:sz="4" w:space="0" w:color="auto"/>
              <w:bottom w:val="single" w:sz="4" w:space="0" w:color="auto"/>
              <w:right w:val="single" w:sz="4" w:space="0" w:color="auto"/>
            </w:tcBorders>
          </w:tcPr>
          <w:p w14:paraId="2579DE11"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165</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F48FEC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365913.00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E61FE0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353943.04</w:t>
            </w:r>
          </w:p>
        </w:tc>
        <w:tc>
          <w:tcPr>
            <w:tcW w:w="1222" w:type="dxa"/>
            <w:tcBorders>
              <w:top w:val="single" w:sz="4" w:space="0" w:color="auto"/>
              <w:left w:val="single" w:sz="4" w:space="0" w:color="auto"/>
              <w:bottom w:val="single" w:sz="4" w:space="0" w:color="auto"/>
              <w:right w:val="single" w:sz="4" w:space="0" w:color="auto"/>
            </w:tcBorders>
            <w:vAlign w:val="bottom"/>
          </w:tcPr>
          <w:p w14:paraId="505AB95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2.51</w:t>
            </w:r>
          </w:p>
        </w:tc>
        <w:tc>
          <w:tcPr>
            <w:tcW w:w="1159" w:type="dxa"/>
            <w:tcBorders>
              <w:top w:val="single" w:sz="4" w:space="0" w:color="auto"/>
              <w:left w:val="single" w:sz="4" w:space="0" w:color="auto"/>
              <w:bottom w:val="single" w:sz="4" w:space="0" w:color="auto"/>
              <w:right w:val="single" w:sz="4" w:space="0" w:color="auto"/>
            </w:tcBorders>
            <w:vAlign w:val="bottom"/>
          </w:tcPr>
          <w:p w14:paraId="438623CA"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0.99</w:t>
            </w:r>
          </w:p>
        </w:tc>
        <w:tc>
          <w:tcPr>
            <w:tcW w:w="1171" w:type="dxa"/>
            <w:tcBorders>
              <w:top w:val="single" w:sz="4" w:space="0" w:color="auto"/>
              <w:left w:val="single" w:sz="4" w:space="0" w:color="auto"/>
              <w:bottom w:val="single" w:sz="4" w:space="0" w:color="auto"/>
              <w:right w:val="single" w:sz="4" w:space="0" w:color="auto"/>
            </w:tcBorders>
          </w:tcPr>
          <w:p w14:paraId="0C17D1A8"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2.55</w:t>
            </w:r>
          </w:p>
        </w:tc>
        <w:tc>
          <w:tcPr>
            <w:tcW w:w="1035" w:type="dxa"/>
            <w:tcBorders>
              <w:top w:val="single" w:sz="4" w:space="0" w:color="auto"/>
              <w:left w:val="single" w:sz="4" w:space="0" w:color="auto"/>
              <w:bottom w:val="single" w:sz="4" w:space="0" w:color="auto"/>
              <w:right w:val="single" w:sz="4" w:space="0" w:color="auto"/>
            </w:tcBorders>
          </w:tcPr>
          <w:p w14:paraId="08D2C24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1873994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2.0</w:t>
            </w:r>
          </w:p>
        </w:tc>
      </w:tr>
      <w:tr w:rsidR="00814058" w:rsidRPr="007929B5" w14:paraId="04EBE78E" w14:textId="77777777" w:rsidTr="000E6F5C">
        <w:tc>
          <w:tcPr>
            <w:tcW w:w="1105" w:type="dxa"/>
            <w:tcBorders>
              <w:top w:val="single" w:sz="4" w:space="0" w:color="auto"/>
              <w:bottom w:val="single" w:sz="4" w:space="0" w:color="auto"/>
              <w:right w:val="single" w:sz="4" w:space="0" w:color="auto"/>
            </w:tcBorders>
          </w:tcPr>
          <w:p w14:paraId="3E47D0BA"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166</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641F327B"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365892.48</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1BE07A6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353960.90</w:t>
            </w:r>
          </w:p>
        </w:tc>
        <w:tc>
          <w:tcPr>
            <w:tcW w:w="1222" w:type="dxa"/>
            <w:tcBorders>
              <w:top w:val="single" w:sz="4" w:space="0" w:color="auto"/>
              <w:left w:val="single" w:sz="4" w:space="0" w:color="auto"/>
              <w:bottom w:val="single" w:sz="4" w:space="0" w:color="auto"/>
              <w:right w:val="single" w:sz="4" w:space="0" w:color="auto"/>
            </w:tcBorders>
            <w:vAlign w:val="bottom"/>
          </w:tcPr>
          <w:p w14:paraId="0DC422C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4.63</w:t>
            </w:r>
          </w:p>
        </w:tc>
        <w:tc>
          <w:tcPr>
            <w:tcW w:w="1159" w:type="dxa"/>
            <w:tcBorders>
              <w:top w:val="single" w:sz="4" w:space="0" w:color="auto"/>
              <w:left w:val="single" w:sz="4" w:space="0" w:color="auto"/>
              <w:bottom w:val="single" w:sz="4" w:space="0" w:color="auto"/>
              <w:right w:val="single" w:sz="4" w:space="0" w:color="auto"/>
            </w:tcBorders>
            <w:vAlign w:val="bottom"/>
          </w:tcPr>
          <w:p w14:paraId="3876D49B"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1.20</w:t>
            </w:r>
          </w:p>
        </w:tc>
        <w:tc>
          <w:tcPr>
            <w:tcW w:w="1171" w:type="dxa"/>
            <w:tcBorders>
              <w:top w:val="single" w:sz="4" w:space="0" w:color="auto"/>
              <w:left w:val="single" w:sz="4" w:space="0" w:color="auto"/>
              <w:bottom w:val="single" w:sz="4" w:space="0" w:color="auto"/>
              <w:right w:val="single" w:sz="4" w:space="0" w:color="auto"/>
            </w:tcBorders>
          </w:tcPr>
          <w:p w14:paraId="41C70D8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3.70</w:t>
            </w:r>
          </w:p>
        </w:tc>
        <w:tc>
          <w:tcPr>
            <w:tcW w:w="1035" w:type="dxa"/>
            <w:tcBorders>
              <w:top w:val="single" w:sz="4" w:space="0" w:color="auto"/>
              <w:left w:val="single" w:sz="4" w:space="0" w:color="auto"/>
              <w:bottom w:val="single" w:sz="4" w:space="0" w:color="auto"/>
              <w:right w:val="single" w:sz="4" w:space="0" w:color="auto"/>
            </w:tcBorders>
          </w:tcPr>
          <w:p w14:paraId="0C5E0DD8"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0F45D43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2.0</w:t>
            </w:r>
          </w:p>
        </w:tc>
      </w:tr>
      <w:tr w:rsidR="00814058" w:rsidRPr="007929B5" w14:paraId="5A765ADB" w14:textId="77777777" w:rsidTr="000E6F5C">
        <w:tc>
          <w:tcPr>
            <w:tcW w:w="1105" w:type="dxa"/>
            <w:tcBorders>
              <w:top w:val="single" w:sz="4" w:space="0" w:color="auto"/>
              <w:bottom w:val="single" w:sz="4" w:space="0" w:color="auto"/>
              <w:right w:val="single" w:sz="4" w:space="0" w:color="auto"/>
            </w:tcBorders>
          </w:tcPr>
          <w:p w14:paraId="691ED952"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167</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5F841B78"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366045.98</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6A1EAE0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354061.47</w:t>
            </w:r>
          </w:p>
        </w:tc>
        <w:tc>
          <w:tcPr>
            <w:tcW w:w="1222" w:type="dxa"/>
            <w:tcBorders>
              <w:top w:val="single" w:sz="4" w:space="0" w:color="auto"/>
              <w:left w:val="single" w:sz="4" w:space="0" w:color="auto"/>
              <w:bottom w:val="single" w:sz="4" w:space="0" w:color="auto"/>
              <w:right w:val="single" w:sz="4" w:space="0" w:color="auto"/>
            </w:tcBorders>
            <w:vAlign w:val="bottom"/>
          </w:tcPr>
          <w:p w14:paraId="3606F77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2.36</w:t>
            </w:r>
          </w:p>
        </w:tc>
        <w:tc>
          <w:tcPr>
            <w:tcW w:w="1159" w:type="dxa"/>
            <w:tcBorders>
              <w:top w:val="single" w:sz="4" w:space="0" w:color="auto"/>
              <w:left w:val="single" w:sz="4" w:space="0" w:color="auto"/>
              <w:bottom w:val="single" w:sz="4" w:space="0" w:color="auto"/>
              <w:right w:val="single" w:sz="4" w:space="0" w:color="auto"/>
            </w:tcBorders>
            <w:vAlign w:val="bottom"/>
          </w:tcPr>
          <w:p w14:paraId="444F8D08"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0.82</w:t>
            </w:r>
          </w:p>
        </w:tc>
        <w:tc>
          <w:tcPr>
            <w:tcW w:w="1171" w:type="dxa"/>
            <w:tcBorders>
              <w:top w:val="single" w:sz="4" w:space="0" w:color="auto"/>
              <w:left w:val="single" w:sz="4" w:space="0" w:color="auto"/>
              <w:bottom w:val="single" w:sz="4" w:space="0" w:color="auto"/>
              <w:right w:val="single" w:sz="4" w:space="0" w:color="auto"/>
            </w:tcBorders>
          </w:tcPr>
          <w:p w14:paraId="3AE243B9"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2.50</w:t>
            </w:r>
          </w:p>
        </w:tc>
        <w:tc>
          <w:tcPr>
            <w:tcW w:w="1035" w:type="dxa"/>
            <w:tcBorders>
              <w:top w:val="single" w:sz="4" w:space="0" w:color="auto"/>
              <w:left w:val="single" w:sz="4" w:space="0" w:color="auto"/>
              <w:bottom w:val="single" w:sz="4" w:space="0" w:color="auto"/>
              <w:right w:val="single" w:sz="4" w:space="0" w:color="auto"/>
            </w:tcBorders>
          </w:tcPr>
          <w:p w14:paraId="154CE58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420F27CA"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2.0</w:t>
            </w:r>
          </w:p>
        </w:tc>
      </w:tr>
      <w:tr w:rsidR="00814058" w:rsidRPr="007929B5" w14:paraId="3AC0BC0D" w14:textId="77777777" w:rsidTr="000E6F5C">
        <w:tc>
          <w:tcPr>
            <w:tcW w:w="1105" w:type="dxa"/>
            <w:tcBorders>
              <w:top w:val="single" w:sz="4" w:space="0" w:color="auto"/>
              <w:bottom w:val="single" w:sz="4" w:space="0" w:color="auto"/>
              <w:right w:val="single" w:sz="4" w:space="0" w:color="auto"/>
            </w:tcBorders>
          </w:tcPr>
          <w:p w14:paraId="098861AC"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168</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5017BC5B"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365844.92</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9A1C3BA"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354351.56</w:t>
            </w:r>
          </w:p>
        </w:tc>
        <w:tc>
          <w:tcPr>
            <w:tcW w:w="1222" w:type="dxa"/>
            <w:tcBorders>
              <w:top w:val="single" w:sz="4" w:space="0" w:color="auto"/>
              <w:left w:val="single" w:sz="4" w:space="0" w:color="auto"/>
              <w:bottom w:val="single" w:sz="4" w:space="0" w:color="auto"/>
              <w:right w:val="single" w:sz="4" w:space="0" w:color="auto"/>
            </w:tcBorders>
            <w:vAlign w:val="bottom"/>
          </w:tcPr>
          <w:p w14:paraId="0DDE9A2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9.21</w:t>
            </w:r>
          </w:p>
        </w:tc>
        <w:tc>
          <w:tcPr>
            <w:tcW w:w="1159" w:type="dxa"/>
            <w:tcBorders>
              <w:top w:val="single" w:sz="4" w:space="0" w:color="auto"/>
              <w:left w:val="single" w:sz="4" w:space="0" w:color="auto"/>
              <w:bottom w:val="single" w:sz="4" w:space="0" w:color="auto"/>
              <w:right w:val="single" w:sz="4" w:space="0" w:color="auto"/>
            </w:tcBorders>
            <w:vAlign w:val="bottom"/>
          </w:tcPr>
          <w:p w14:paraId="2FCC8D0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3.65</w:t>
            </w:r>
          </w:p>
        </w:tc>
        <w:tc>
          <w:tcPr>
            <w:tcW w:w="1171" w:type="dxa"/>
            <w:tcBorders>
              <w:top w:val="single" w:sz="4" w:space="0" w:color="auto"/>
              <w:left w:val="single" w:sz="4" w:space="0" w:color="auto"/>
              <w:bottom w:val="single" w:sz="4" w:space="0" w:color="auto"/>
              <w:right w:val="single" w:sz="4" w:space="0" w:color="auto"/>
            </w:tcBorders>
          </w:tcPr>
          <w:p w14:paraId="554A3A1A"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5.80</w:t>
            </w:r>
          </w:p>
        </w:tc>
        <w:tc>
          <w:tcPr>
            <w:tcW w:w="1035" w:type="dxa"/>
            <w:tcBorders>
              <w:top w:val="single" w:sz="4" w:space="0" w:color="auto"/>
              <w:left w:val="single" w:sz="4" w:space="0" w:color="auto"/>
              <w:bottom w:val="single" w:sz="4" w:space="0" w:color="auto"/>
              <w:right w:val="single" w:sz="4" w:space="0" w:color="auto"/>
            </w:tcBorders>
          </w:tcPr>
          <w:p w14:paraId="1BA3D00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766FD16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59A74782" w14:textId="77777777" w:rsidTr="000E6F5C">
        <w:tc>
          <w:tcPr>
            <w:tcW w:w="1105" w:type="dxa"/>
            <w:tcBorders>
              <w:top w:val="single" w:sz="4" w:space="0" w:color="auto"/>
              <w:bottom w:val="single" w:sz="4" w:space="0" w:color="auto"/>
              <w:right w:val="single" w:sz="4" w:space="0" w:color="auto"/>
            </w:tcBorders>
          </w:tcPr>
          <w:p w14:paraId="0EFB0695"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169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F383D0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365747.77</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89E02E"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354285.54</w:t>
            </w:r>
          </w:p>
        </w:tc>
        <w:tc>
          <w:tcPr>
            <w:tcW w:w="1222" w:type="dxa"/>
            <w:tcBorders>
              <w:top w:val="single" w:sz="4" w:space="0" w:color="auto"/>
              <w:left w:val="single" w:sz="4" w:space="0" w:color="auto"/>
              <w:bottom w:val="single" w:sz="4" w:space="0" w:color="auto"/>
              <w:right w:val="single" w:sz="4" w:space="0" w:color="auto"/>
            </w:tcBorders>
            <w:vAlign w:val="bottom"/>
          </w:tcPr>
          <w:p w14:paraId="336A05C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8.33</w:t>
            </w:r>
          </w:p>
        </w:tc>
        <w:tc>
          <w:tcPr>
            <w:tcW w:w="1159" w:type="dxa"/>
            <w:tcBorders>
              <w:top w:val="single" w:sz="4" w:space="0" w:color="auto"/>
              <w:left w:val="single" w:sz="4" w:space="0" w:color="auto"/>
              <w:bottom w:val="single" w:sz="4" w:space="0" w:color="auto"/>
              <w:right w:val="single" w:sz="4" w:space="0" w:color="auto"/>
            </w:tcBorders>
            <w:vAlign w:val="bottom"/>
          </w:tcPr>
          <w:p w14:paraId="056B63B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2.99</w:t>
            </w:r>
          </w:p>
        </w:tc>
        <w:tc>
          <w:tcPr>
            <w:tcW w:w="1171" w:type="dxa"/>
            <w:tcBorders>
              <w:top w:val="single" w:sz="4" w:space="0" w:color="auto"/>
              <w:left w:val="single" w:sz="4" w:space="0" w:color="auto"/>
              <w:bottom w:val="single" w:sz="4" w:space="0" w:color="auto"/>
              <w:right w:val="single" w:sz="4" w:space="0" w:color="auto"/>
            </w:tcBorders>
          </w:tcPr>
          <w:p w14:paraId="03DCB8C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5.00</w:t>
            </w:r>
          </w:p>
        </w:tc>
        <w:tc>
          <w:tcPr>
            <w:tcW w:w="1035" w:type="dxa"/>
            <w:tcBorders>
              <w:top w:val="single" w:sz="4" w:space="0" w:color="auto"/>
              <w:left w:val="single" w:sz="4" w:space="0" w:color="auto"/>
              <w:bottom w:val="single" w:sz="4" w:space="0" w:color="auto"/>
              <w:right w:val="single" w:sz="4" w:space="0" w:color="auto"/>
            </w:tcBorders>
          </w:tcPr>
          <w:p w14:paraId="45A9493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0A6B83A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28B25C04" w14:textId="77777777" w:rsidTr="000E6F5C">
        <w:tc>
          <w:tcPr>
            <w:tcW w:w="1105" w:type="dxa"/>
            <w:tcBorders>
              <w:top w:val="single" w:sz="4" w:space="0" w:color="auto"/>
              <w:bottom w:val="single" w:sz="4" w:space="0" w:color="auto"/>
              <w:right w:val="single" w:sz="4" w:space="0" w:color="auto"/>
            </w:tcBorders>
          </w:tcPr>
          <w:p w14:paraId="016F20E5"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170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1F4D9C6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365806.39</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7F76D40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354416.91</w:t>
            </w:r>
          </w:p>
        </w:tc>
        <w:tc>
          <w:tcPr>
            <w:tcW w:w="1222" w:type="dxa"/>
            <w:tcBorders>
              <w:top w:val="single" w:sz="4" w:space="0" w:color="auto"/>
              <w:left w:val="single" w:sz="4" w:space="0" w:color="auto"/>
              <w:bottom w:val="single" w:sz="4" w:space="0" w:color="auto"/>
              <w:right w:val="single" w:sz="4" w:space="0" w:color="auto"/>
            </w:tcBorders>
            <w:vAlign w:val="bottom"/>
          </w:tcPr>
          <w:p w14:paraId="0CB0A1AB"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9.84</w:t>
            </w:r>
          </w:p>
        </w:tc>
        <w:tc>
          <w:tcPr>
            <w:tcW w:w="1159" w:type="dxa"/>
            <w:tcBorders>
              <w:top w:val="single" w:sz="4" w:space="0" w:color="auto"/>
              <w:left w:val="single" w:sz="4" w:space="0" w:color="auto"/>
              <w:bottom w:val="single" w:sz="4" w:space="0" w:color="auto"/>
              <w:right w:val="single" w:sz="4" w:space="0" w:color="auto"/>
            </w:tcBorders>
            <w:vAlign w:val="bottom"/>
          </w:tcPr>
          <w:p w14:paraId="6F36D0E5"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3.93</w:t>
            </w:r>
          </w:p>
        </w:tc>
        <w:tc>
          <w:tcPr>
            <w:tcW w:w="1171" w:type="dxa"/>
            <w:tcBorders>
              <w:top w:val="single" w:sz="4" w:space="0" w:color="auto"/>
              <w:left w:val="single" w:sz="4" w:space="0" w:color="auto"/>
              <w:bottom w:val="single" w:sz="4" w:space="0" w:color="auto"/>
              <w:right w:val="single" w:sz="4" w:space="0" w:color="auto"/>
            </w:tcBorders>
          </w:tcPr>
          <w:p w14:paraId="24F8CEB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6.10</w:t>
            </w:r>
          </w:p>
        </w:tc>
        <w:tc>
          <w:tcPr>
            <w:tcW w:w="1035" w:type="dxa"/>
            <w:tcBorders>
              <w:top w:val="single" w:sz="4" w:space="0" w:color="auto"/>
              <w:left w:val="single" w:sz="4" w:space="0" w:color="auto"/>
              <w:bottom w:val="single" w:sz="4" w:space="0" w:color="auto"/>
              <w:right w:val="single" w:sz="4" w:space="0" w:color="auto"/>
            </w:tcBorders>
          </w:tcPr>
          <w:p w14:paraId="781FF1B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7C88D723"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17580789" w14:textId="77777777" w:rsidTr="000E6F5C">
        <w:tc>
          <w:tcPr>
            <w:tcW w:w="1105" w:type="dxa"/>
            <w:tcBorders>
              <w:top w:val="single" w:sz="4" w:space="0" w:color="auto"/>
              <w:bottom w:val="single" w:sz="4" w:space="0" w:color="auto"/>
              <w:right w:val="single" w:sz="4" w:space="0" w:color="auto"/>
            </w:tcBorders>
          </w:tcPr>
          <w:p w14:paraId="5D80DA7F"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171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34B1A3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365718.43</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6338C4C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354356.89</w:t>
            </w:r>
          </w:p>
        </w:tc>
        <w:tc>
          <w:tcPr>
            <w:tcW w:w="1222" w:type="dxa"/>
            <w:tcBorders>
              <w:top w:val="single" w:sz="4" w:space="0" w:color="auto"/>
              <w:left w:val="single" w:sz="4" w:space="0" w:color="auto"/>
              <w:bottom w:val="single" w:sz="4" w:space="0" w:color="auto"/>
              <w:right w:val="single" w:sz="4" w:space="0" w:color="auto"/>
            </w:tcBorders>
            <w:vAlign w:val="bottom"/>
          </w:tcPr>
          <w:p w14:paraId="13E1231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8.64</w:t>
            </w:r>
          </w:p>
        </w:tc>
        <w:tc>
          <w:tcPr>
            <w:tcW w:w="1159" w:type="dxa"/>
            <w:tcBorders>
              <w:top w:val="single" w:sz="4" w:space="0" w:color="auto"/>
              <w:left w:val="single" w:sz="4" w:space="0" w:color="auto"/>
              <w:bottom w:val="single" w:sz="4" w:space="0" w:color="auto"/>
              <w:right w:val="single" w:sz="4" w:space="0" w:color="auto"/>
            </w:tcBorders>
            <w:vAlign w:val="bottom"/>
          </w:tcPr>
          <w:p w14:paraId="3F0BF05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3.21</w:t>
            </w:r>
          </w:p>
        </w:tc>
        <w:tc>
          <w:tcPr>
            <w:tcW w:w="1171" w:type="dxa"/>
            <w:tcBorders>
              <w:top w:val="single" w:sz="4" w:space="0" w:color="auto"/>
              <w:left w:val="single" w:sz="4" w:space="0" w:color="auto"/>
              <w:bottom w:val="single" w:sz="4" w:space="0" w:color="auto"/>
              <w:right w:val="single" w:sz="4" w:space="0" w:color="auto"/>
            </w:tcBorders>
          </w:tcPr>
          <w:p w14:paraId="480F076D"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5.00</w:t>
            </w:r>
          </w:p>
        </w:tc>
        <w:tc>
          <w:tcPr>
            <w:tcW w:w="1035" w:type="dxa"/>
            <w:tcBorders>
              <w:top w:val="single" w:sz="4" w:space="0" w:color="auto"/>
              <w:left w:val="single" w:sz="4" w:space="0" w:color="auto"/>
              <w:bottom w:val="single" w:sz="4" w:space="0" w:color="auto"/>
              <w:right w:val="single" w:sz="4" w:space="0" w:color="auto"/>
            </w:tcBorders>
          </w:tcPr>
          <w:p w14:paraId="039CBCB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2EFF687B"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6255C834" w14:textId="77777777" w:rsidTr="000E6F5C">
        <w:tc>
          <w:tcPr>
            <w:tcW w:w="1105" w:type="dxa"/>
            <w:tcBorders>
              <w:top w:val="single" w:sz="4" w:space="0" w:color="auto"/>
              <w:bottom w:val="single" w:sz="4" w:space="0" w:color="auto"/>
              <w:right w:val="single" w:sz="4" w:space="0" w:color="auto"/>
            </w:tcBorders>
          </w:tcPr>
          <w:p w14:paraId="2725C5DF"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172</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6F24D13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365772.00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727AA5E2"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354552.90</w:t>
            </w:r>
          </w:p>
        </w:tc>
        <w:tc>
          <w:tcPr>
            <w:tcW w:w="1222" w:type="dxa"/>
            <w:tcBorders>
              <w:top w:val="single" w:sz="4" w:space="0" w:color="auto"/>
              <w:left w:val="single" w:sz="4" w:space="0" w:color="auto"/>
              <w:bottom w:val="single" w:sz="4" w:space="0" w:color="auto"/>
              <w:right w:val="single" w:sz="4" w:space="0" w:color="auto"/>
            </w:tcBorders>
            <w:vAlign w:val="bottom"/>
          </w:tcPr>
          <w:p w14:paraId="663AC1D1"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9.59</w:t>
            </w:r>
          </w:p>
        </w:tc>
        <w:tc>
          <w:tcPr>
            <w:tcW w:w="1159" w:type="dxa"/>
            <w:tcBorders>
              <w:top w:val="single" w:sz="4" w:space="0" w:color="auto"/>
              <w:left w:val="single" w:sz="4" w:space="0" w:color="auto"/>
              <w:bottom w:val="single" w:sz="4" w:space="0" w:color="auto"/>
              <w:right w:val="single" w:sz="4" w:space="0" w:color="auto"/>
            </w:tcBorders>
            <w:vAlign w:val="bottom"/>
          </w:tcPr>
          <w:p w14:paraId="772A4C5C"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2.94</w:t>
            </w:r>
          </w:p>
        </w:tc>
        <w:tc>
          <w:tcPr>
            <w:tcW w:w="1171" w:type="dxa"/>
            <w:tcBorders>
              <w:top w:val="single" w:sz="4" w:space="0" w:color="auto"/>
              <w:left w:val="single" w:sz="4" w:space="0" w:color="auto"/>
              <w:bottom w:val="single" w:sz="4" w:space="0" w:color="auto"/>
              <w:right w:val="single" w:sz="4" w:space="0" w:color="auto"/>
            </w:tcBorders>
          </w:tcPr>
          <w:p w14:paraId="2CC052AB"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5.20</w:t>
            </w:r>
          </w:p>
        </w:tc>
        <w:tc>
          <w:tcPr>
            <w:tcW w:w="1035" w:type="dxa"/>
            <w:tcBorders>
              <w:top w:val="single" w:sz="4" w:space="0" w:color="auto"/>
              <w:left w:val="single" w:sz="4" w:space="0" w:color="auto"/>
              <w:bottom w:val="single" w:sz="4" w:space="0" w:color="auto"/>
              <w:right w:val="single" w:sz="4" w:space="0" w:color="auto"/>
            </w:tcBorders>
          </w:tcPr>
          <w:p w14:paraId="69303DAA"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7ABA90E6"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r w:rsidR="00814058" w:rsidRPr="007929B5" w14:paraId="28F5D60F" w14:textId="77777777" w:rsidTr="000E6F5C">
        <w:tc>
          <w:tcPr>
            <w:tcW w:w="1105" w:type="dxa"/>
            <w:tcBorders>
              <w:top w:val="single" w:sz="4" w:space="0" w:color="auto"/>
              <w:bottom w:val="single" w:sz="4" w:space="0" w:color="auto"/>
              <w:right w:val="single" w:sz="4" w:space="0" w:color="auto"/>
            </w:tcBorders>
          </w:tcPr>
          <w:p w14:paraId="0FEE6E73" w14:textId="77777777" w:rsidR="00814058" w:rsidRPr="007929B5" w:rsidRDefault="00814058" w:rsidP="000E6F5C">
            <w:pPr>
              <w:pStyle w:val="Attlanosaukums"/>
              <w:spacing w:before="0" w:after="0"/>
              <w:rPr>
                <w:rFonts w:ascii="Times New Roman" w:hAnsi="Times New Roman"/>
                <w:b w:val="0"/>
                <w:bCs/>
                <w:szCs w:val="22"/>
              </w:rPr>
            </w:pPr>
            <w:r w:rsidRPr="007929B5">
              <w:rPr>
                <w:rFonts w:ascii="Times New Roman" w:hAnsi="Times New Roman"/>
                <w:b w:val="0"/>
                <w:bCs/>
                <w:szCs w:val="22"/>
              </w:rPr>
              <w:t>173</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490FF969"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365853.56</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04DFFD8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354479.22</w:t>
            </w:r>
          </w:p>
        </w:tc>
        <w:tc>
          <w:tcPr>
            <w:tcW w:w="1222" w:type="dxa"/>
            <w:tcBorders>
              <w:top w:val="single" w:sz="4" w:space="0" w:color="auto"/>
              <w:left w:val="single" w:sz="4" w:space="0" w:color="auto"/>
              <w:bottom w:val="single" w:sz="4" w:space="0" w:color="auto"/>
              <w:right w:val="single" w:sz="4" w:space="0" w:color="auto"/>
            </w:tcBorders>
            <w:vAlign w:val="bottom"/>
          </w:tcPr>
          <w:p w14:paraId="200CCE80"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color w:val="000000"/>
                <w:szCs w:val="20"/>
              </w:rPr>
              <w:t>10.77</w:t>
            </w:r>
          </w:p>
        </w:tc>
        <w:tc>
          <w:tcPr>
            <w:tcW w:w="1159" w:type="dxa"/>
            <w:tcBorders>
              <w:top w:val="single" w:sz="4" w:space="0" w:color="auto"/>
              <w:left w:val="single" w:sz="4" w:space="0" w:color="auto"/>
              <w:bottom w:val="single" w:sz="4" w:space="0" w:color="auto"/>
              <w:right w:val="single" w:sz="4" w:space="0" w:color="auto"/>
            </w:tcBorders>
            <w:vAlign w:val="bottom"/>
          </w:tcPr>
          <w:p w14:paraId="265AC46A"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4.61</w:t>
            </w:r>
          </w:p>
        </w:tc>
        <w:tc>
          <w:tcPr>
            <w:tcW w:w="1171" w:type="dxa"/>
            <w:tcBorders>
              <w:top w:val="single" w:sz="4" w:space="0" w:color="auto"/>
              <w:left w:val="single" w:sz="4" w:space="0" w:color="auto"/>
              <w:bottom w:val="single" w:sz="4" w:space="0" w:color="auto"/>
              <w:right w:val="single" w:sz="4" w:space="0" w:color="auto"/>
            </w:tcBorders>
          </w:tcPr>
          <w:p w14:paraId="032DEE07"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6.80</w:t>
            </w:r>
          </w:p>
        </w:tc>
        <w:tc>
          <w:tcPr>
            <w:tcW w:w="1035" w:type="dxa"/>
            <w:tcBorders>
              <w:top w:val="single" w:sz="4" w:space="0" w:color="auto"/>
              <w:left w:val="single" w:sz="4" w:space="0" w:color="auto"/>
              <w:bottom w:val="single" w:sz="4" w:space="0" w:color="auto"/>
              <w:right w:val="single" w:sz="4" w:space="0" w:color="auto"/>
            </w:tcBorders>
          </w:tcPr>
          <w:p w14:paraId="14113C0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60</w:t>
            </w:r>
          </w:p>
        </w:tc>
        <w:tc>
          <w:tcPr>
            <w:tcW w:w="1034" w:type="dxa"/>
            <w:tcBorders>
              <w:top w:val="single" w:sz="4" w:space="0" w:color="auto"/>
              <w:left w:val="single" w:sz="4" w:space="0" w:color="auto"/>
              <w:bottom w:val="single" w:sz="4" w:space="0" w:color="auto"/>
            </w:tcBorders>
          </w:tcPr>
          <w:p w14:paraId="74382524" w14:textId="77777777" w:rsidR="00814058" w:rsidRPr="007929B5" w:rsidRDefault="00814058" w:rsidP="000E6F5C">
            <w:pPr>
              <w:pStyle w:val="Attlanosaukums"/>
              <w:spacing w:before="0" w:after="0"/>
              <w:rPr>
                <w:rFonts w:ascii="Times New Roman" w:hAnsi="Times New Roman"/>
                <w:b w:val="0"/>
                <w:bCs/>
                <w:szCs w:val="20"/>
              </w:rPr>
            </w:pPr>
            <w:r w:rsidRPr="007929B5">
              <w:rPr>
                <w:rFonts w:ascii="Times New Roman" w:hAnsi="Times New Roman"/>
                <w:b w:val="0"/>
                <w:bCs/>
                <w:szCs w:val="20"/>
              </w:rPr>
              <w:t>3.0</w:t>
            </w:r>
          </w:p>
        </w:tc>
      </w:tr>
    </w:tbl>
    <w:p w14:paraId="38EB7739" w14:textId="77777777" w:rsidR="00814058" w:rsidRPr="007929B5" w:rsidRDefault="00814058" w:rsidP="00814058">
      <w:pPr>
        <w:jc w:val="both"/>
        <w:rPr>
          <w:rFonts w:ascii="Times New Roman" w:hAnsi="Times New Roman"/>
        </w:rPr>
      </w:pPr>
    </w:p>
    <w:p w14:paraId="3BE26FE0" w14:textId="533A28D7" w:rsidR="00814058" w:rsidRPr="007929B5" w:rsidRDefault="006B04E9" w:rsidP="00814058">
      <w:pPr>
        <w:jc w:val="center"/>
        <w:rPr>
          <w:rFonts w:ascii="Times New Roman" w:hAnsi="Times New Roman"/>
          <w:b/>
          <w:bCs/>
        </w:rPr>
      </w:pPr>
      <w:r>
        <w:rPr>
          <w:rFonts w:ascii="Times New Roman" w:hAnsi="Times New Roman"/>
          <w:b/>
          <w:bCs/>
        </w:rPr>
        <w:t xml:space="preserve">2.attēls </w:t>
      </w:r>
      <w:r w:rsidR="00814058" w:rsidRPr="007929B5">
        <w:rPr>
          <w:rFonts w:ascii="Times New Roman" w:hAnsi="Times New Roman"/>
          <w:b/>
          <w:bCs/>
        </w:rPr>
        <w:t>Monitoringa sistēmas izvietojums</w:t>
      </w:r>
    </w:p>
    <w:p w14:paraId="326DD35E" w14:textId="3A527891" w:rsidR="00814058" w:rsidRPr="007929B5" w:rsidRDefault="00814058" w:rsidP="00814058">
      <w:pPr>
        <w:jc w:val="center"/>
        <w:rPr>
          <w:rFonts w:ascii="Times New Roman" w:hAnsi="Times New Roman"/>
          <w:b/>
          <w:bCs/>
        </w:rPr>
      </w:pPr>
      <w:r w:rsidRPr="007929B5">
        <w:rPr>
          <w:rFonts w:ascii="Times New Roman" w:hAnsi="Times New Roman"/>
          <w:b/>
          <w:noProof/>
          <w:lang w:eastAsia="en-US"/>
        </w:rPr>
        <w:drawing>
          <wp:inline distT="0" distB="0" distL="0" distR="0" wp14:anchorId="08E82E18" wp14:editId="527CAEDF">
            <wp:extent cx="5274310" cy="3562437"/>
            <wp:effectExtent l="0" t="0" r="2540" b="0"/>
            <wp:docPr id="212809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98994" name="Picture 212809899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562437"/>
                    </a:xfrm>
                    <a:prstGeom prst="rect">
                      <a:avLst/>
                    </a:prstGeom>
                  </pic:spPr>
                </pic:pic>
              </a:graphicData>
            </a:graphic>
          </wp:inline>
        </w:drawing>
      </w:r>
    </w:p>
    <w:p w14:paraId="7AF2CC74" w14:textId="77777777" w:rsidR="00A71D6E" w:rsidRDefault="00A71D6E" w:rsidP="00EF4C5C">
      <w:pPr>
        <w:jc w:val="both"/>
        <w:rPr>
          <w:rFonts w:ascii="Times New Roman" w:hAnsi="Times New Roman"/>
        </w:rPr>
      </w:pPr>
    </w:p>
    <w:p w14:paraId="45474CB9" w14:textId="2B3A699F" w:rsidR="006D3A7C" w:rsidRPr="007929B5" w:rsidRDefault="006D3A7C" w:rsidP="00EF4C5C">
      <w:pPr>
        <w:jc w:val="both"/>
        <w:rPr>
          <w:rFonts w:ascii="Times New Roman" w:hAnsi="Times New Roman"/>
        </w:rPr>
      </w:pPr>
      <w:r w:rsidRPr="007929B5">
        <w:rPr>
          <w:rFonts w:ascii="Times New Roman" w:hAnsi="Times New Roman"/>
        </w:rPr>
        <w:t>PĒCSANĀCIJAS VIDES MONITORINGA METODIKA</w:t>
      </w:r>
    </w:p>
    <w:p w14:paraId="3BF6EA12" w14:textId="77777777" w:rsidR="006D3A7C" w:rsidRPr="00DF6F9E" w:rsidRDefault="006D3A7C" w:rsidP="00EF4C5C">
      <w:pPr>
        <w:jc w:val="both"/>
        <w:rPr>
          <w:rFonts w:ascii="Times New Roman" w:hAnsi="Times New Roman"/>
        </w:rPr>
      </w:pPr>
    </w:p>
    <w:p w14:paraId="5C5B677F" w14:textId="5A75B706" w:rsidR="00EF4C5C" w:rsidRPr="00DF6F9E" w:rsidRDefault="00EF4C5C" w:rsidP="00EF4C5C">
      <w:pPr>
        <w:jc w:val="both"/>
        <w:rPr>
          <w:rFonts w:ascii="Times New Roman" w:hAnsi="Times New Roman"/>
        </w:rPr>
      </w:pPr>
      <w:r w:rsidRPr="00DF6F9E">
        <w:rPr>
          <w:rFonts w:ascii="Times New Roman" w:hAnsi="Times New Roman"/>
        </w:rPr>
        <w:t>Monitoringa darbi jāveic atbilstoši spēkā esošajiem metodiskajiem norādījumiem</w:t>
      </w:r>
      <w:r w:rsidR="003F3013" w:rsidRPr="00DF6F9E">
        <w:rPr>
          <w:rFonts w:ascii="Times New Roman" w:hAnsi="Times New Roman"/>
        </w:rPr>
        <w:t xml:space="preserve"> “Pazemes ūdeņu piesārņojuma izpēte” (apstiprināti Vides aizsardzības un reģionālās attīstības ministrijā 1998. gada 28. martā)</w:t>
      </w:r>
      <w:r w:rsidRPr="00DF6F9E">
        <w:rPr>
          <w:rFonts w:ascii="Times New Roman" w:hAnsi="Times New Roman"/>
        </w:rPr>
        <w:t>, kā arī ievērojot visas šajā laika posmā spēkā esošo normatīvo aktu prasības:</w:t>
      </w:r>
    </w:p>
    <w:p w14:paraId="399E5B36" w14:textId="77777777" w:rsidR="00EF4C5C" w:rsidRPr="00DF6F9E" w:rsidRDefault="00EF4C5C" w:rsidP="00EF4C5C">
      <w:pPr>
        <w:pStyle w:val="Sarakstarindkopa"/>
        <w:numPr>
          <w:ilvl w:val="0"/>
          <w:numId w:val="3"/>
        </w:numPr>
        <w:jc w:val="both"/>
        <w:rPr>
          <w:rFonts w:ascii="Times New Roman" w:hAnsi="Times New Roman"/>
        </w:rPr>
      </w:pPr>
      <w:r w:rsidRPr="00DF6F9E">
        <w:rPr>
          <w:rFonts w:ascii="Times New Roman" w:hAnsi="Times New Roman"/>
        </w:rPr>
        <w:t>Ministru kabineta noteikumi Nr. 118 „Noteikumi par virszemes un pazemes ūdeņu kvalitāti” (ar grozījumiem). Stājušies spēkā ar 2002. gada 4. aprīli.</w:t>
      </w:r>
    </w:p>
    <w:p w14:paraId="0B1E0BEC" w14:textId="77777777" w:rsidR="00EF4C5C" w:rsidRPr="00DF6F9E" w:rsidRDefault="00EF4C5C" w:rsidP="00EF4C5C">
      <w:pPr>
        <w:pStyle w:val="Sarakstarindkopa"/>
        <w:numPr>
          <w:ilvl w:val="0"/>
          <w:numId w:val="3"/>
        </w:numPr>
        <w:jc w:val="both"/>
        <w:rPr>
          <w:rFonts w:ascii="Times New Roman" w:hAnsi="Times New Roman"/>
        </w:rPr>
      </w:pPr>
      <w:r w:rsidRPr="00DF6F9E">
        <w:rPr>
          <w:rFonts w:ascii="Times New Roman" w:hAnsi="Times New Roman"/>
        </w:rPr>
        <w:t xml:space="preserve">Ministru kabineta noteikumi Nr. 409 “Noteikumi par vides aizsardzības prasībām degvielas </w:t>
      </w:r>
      <w:proofErr w:type="spellStart"/>
      <w:r w:rsidRPr="00DF6F9E">
        <w:rPr>
          <w:rFonts w:ascii="Times New Roman" w:hAnsi="Times New Roman"/>
        </w:rPr>
        <w:t>uzpildes</w:t>
      </w:r>
      <w:proofErr w:type="spellEnd"/>
      <w:r w:rsidRPr="00DF6F9E">
        <w:rPr>
          <w:rFonts w:ascii="Times New Roman" w:hAnsi="Times New Roman"/>
        </w:rPr>
        <w:t xml:space="preserve"> stacijām, naftas bāzēm un pārvietojamajām cisternām” (ar grozījumiem). Stājušies spēkā ar 2012. gada 12. jūnijā.</w:t>
      </w:r>
    </w:p>
    <w:p w14:paraId="1ABC2664" w14:textId="77777777" w:rsidR="00EF4C5C" w:rsidRPr="00DF6F9E" w:rsidRDefault="00EF4C5C" w:rsidP="00EF4C5C">
      <w:pPr>
        <w:pStyle w:val="Sarakstarindkopa"/>
        <w:numPr>
          <w:ilvl w:val="0"/>
          <w:numId w:val="3"/>
        </w:numPr>
        <w:jc w:val="both"/>
        <w:rPr>
          <w:rFonts w:ascii="Times New Roman" w:hAnsi="Times New Roman"/>
        </w:rPr>
      </w:pPr>
      <w:r w:rsidRPr="00DF6F9E">
        <w:rPr>
          <w:rFonts w:ascii="Times New Roman" w:hAnsi="Times New Roman"/>
        </w:rPr>
        <w:lastRenderedPageBreak/>
        <w:t>Latvijas standarts LVS EN ISO 5667 „Ūdens kvalitāte. Paraugu ņemšana”.</w:t>
      </w:r>
    </w:p>
    <w:p w14:paraId="3F199302" w14:textId="77777777" w:rsidR="00EF4C5C" w:rsidRPr="00DF6F9E" w:rsidRDefault="00EF4C5C" w:rsidP="00EF4C5C">
      <w:pPr>
        <w:pStyle w:val="Sarakstarindkopa"/>
        <w:numPr>
          <w:ilvl w:val="0"/>
          <w:numId w:val="3"/>
        </w:numPr>
        <w:jc w:val="both"/>
        <w:rPr>
          <w:rFonts w:ascii="Times New Roman" w:hAnsi="Times New Roman"/>
        </w:rPr>
      </w:pPr>
      <w:r w:rsidRPr="00DF6F9E">
        <w:rPr>
          <w:rFonts w:ascii="Times New Roman" w:hAnsi="Times New Roman"/>
        </w:rPr>
        <w:t>Likums „Par piesārņojumu” (ar grozījumiem). Stājies spēkā ar 2001. gada 1. jūliju.</w:t>
      </w:r>
    </w:p>
    <w:p w14:paraId="7D4278AC" w14:textId="77777777" w:rsidR="00EF4C5C" w:rsidRPr="00DF6F9E" w:rsidRDefault="00EF4C5C" w:rsidP="00EF4C5C">
      <w:pPr>
        <w:jc w:val="both"/>
        <w:rPr>
          <w:rFonts w:ascii="Times New Roman" w:hAnsi="Times New Roman"/>
        </w:rPr>
      </w:pPr>
    </w:p>
    <w:p w14:paraId="7A1C4A01" w14:textId="580B8D88" w:rsidR="00EF4C5C" w:rsidRPr="00DF6F9E" w:rsidRDefault="00EF4C5C" w:rsidP="00EF4C5C">
      <w:pPr>
        <w:jc w:val="both"/>
        <w:rPr>
          <w:rFonts w:ascii="Times New Roman" w:hAnsi="Times New Roman"/>
        </w:rPr>
      </w:pPr>
      <w:r w:rsidRPr="00DF6F9E">
        <w:rPr>
          <w:rFonts w:ascii="Times New Roman" w:hAnsi="Times New Roman"/>
        </w:rPr>
        <w:t>Veicot monitoringa pasākumus, darbu veicējam ir nepieciešama spēkā esoša Valsts vides dienesta (VVD) izsniegta Zemes dzīļu izmantošanas licence zemes dzīļu monitoringa sistēmas izveidei vai monitoringa veikšanai DUS</w:t>
      </w:r>
      <w:r w:rsidR="00BB64A3" w:rsidRPr="00DF6F9E">
        <w:rPr>
          <w:rFonts w:ascii="Times New Roman" w:hAnsi="Times New Roman"/>
        </w:rPr>
        <w:t xml:space="preserve"> vai </w:t>
      </w:r>
      <w:r w:rsidRPr="00DF6F9E">
        <w:rPr>
          <w:rFonts w:ascii="Times New Roman" w:hAnsi="Times New Roman"/>
        </w:rPr>
        <w:t xml:space="preserve">naftas bāzēs, </w:t>
      </w:r>
      <w:r w:rsidR="00BB64A3" w:rsidRPr="00DF6F9E">
        <w:rPr>
          <w:rFonts w:ascii="Times New Roman" w:hAnsi="Times New Roman"/>
        </w:rPr>
        <w:t xml:space="preserve">vai </w:t>
      </w:r>
      <w:r w:rsidRPr="00DF6F9E">
        <w:rPr>
          <w:rFonts w:ascii="Times New Roman" w:hAnsi="Times New Roman"/>
        </w:rPr>
        <w:t>katlu mājās,</w:t>
      </w:r>
      <w:r w:rsidR="00BB64A3" w:rsidRPr="00DF6F9E">
        <w:rPr>
          <w:rFonts w:ascii="Times New Roman" w:hAnsi="Times New Roman"/>
        </w:rPr>
        <w:t xml:space="preserve"> vai</w:t>
      </w:r>
      <w:r w:rsidRPr="00DF6F9E">
        <w:rPr>
          <w:rFonts w:ascii="Times New Roman" w:hAnsi="Times New Roman"/>
        </w:rPr>
        <w:t xml:space="preserve"> sadzīves atkritumu izgāztuvēs</w:t>
      </w:r>
      <w:r w:rsidR="00BB64A3" w:rsidRPr="00DF6F9E">
        <w:rPr>
          <w:rFonts w:ascii="Times New Roman" w:hAnsi="Times New Roman"/>
        </w:rPr>
        <w:t>,</w:t>
      </w:r>
      <w:r w:rsidRPr="00DF6F9E">
        <w:rPr>
          <w:rFonts w:ascii="Times New Roman" w:hAnsi="Times New Roman"/>
        </w:rPr>
        <w:t xml:space="preserve"> </w:t>
      </w:r>
      <w:r w:rsidR="00BB64A3" w:rsidRPr="00DF6F9E">
        <w:rPr>
          <w:rFonts w:ascii="Times New Roman" w:hAnsi="Times New Roman"/>
        </w:rPr>
        <w:t>vai</w:t>
      </w:r>
      <w:r w:rsidRPr="00DF6F9E">
        <w:rPr>
          <w:rFonts w:ascii="Times New Roman" w:hAnsi="Times New Roman"/>
        </w:rPr>
        <w:t xml:space="preserve"> piesārņotās vai potenciāli piesārņotās teritorijās Latvijas teritorijā.</w:t>
      </w:r>
    </w:p>
    <w:p w14:paraId="36D8DFEA" w14:textId="77777777" w:rsidR="004241F5" w:rsidRPr="00DF6F9E" w:rsidRDefault="004241F5" w:rsidP="00EF4C5C">
      <w:pPr>
        <w:jc w:val="both"/>
        <w:rPr>
          <w:rFonts w:ascii="Times New Roman" w:hAnsi="Times New Roman"/>
        </w:rPr>
      </w:pPr>
    </w:p>
    <w:p w14:paraId="46D835D9" w14:textId="30A20DCA" w:rsidR="003F3013" w:rsidRDefault="003F3013" w:rsidP="00EF4C5C">
      <w:pPr>
        <w:jc w:val="both"/>
        <w:rPr>
          <w:rFonts w:ascii="Times New Roman" w:hAnsi="Times New Roman"/>
        </w:rPr>
      </w:pPr>
      <w:r w:rsidRPr="00D37B82">
        <w:rPr>
          <w:rFonts w:ascii="Times New Roman" w:hAnsi="Times New Roman"/>
        </w:rPr>
        <w:t>Monitoringa darbu izpilde veicama tikai Pasūtītāja pārstāvja klātbūtnē. Izpildītājs saskaņo ar Pasūtītāja pārstāvi darbu izpildes laiku vismaz 5 (piecas) darba dienas pirms plānotās darbu izpildes.</w:t>
      </w:r>
    </w:p>
    <w:p w14:paraId="0E6712FA" w14:textId="77777777" w:rsidR="003F3013" w:rsidRPr="007929B5" w:rsidRDefault="003F3013" w:rsidP="00EF4C5C">
      <w:pPr>
        <w:jc w:val="both"/>
        <w:rPr>
          <w:rFonts w:ascii="Times New Roman" w:hAnsi="Times New Roman"/>
        </w:rPr>
      </w:pPr>
    </w:p>
    <w:p w14:paraId="36163DD1" w14:textId="7D5B12CB" w:rsidR="004241F5" w:rsidRPr="007929B5" w:rsidRDefault="004241F5" w:rsidP="00EF4C5C">
      <w:pPr>
        <w:jc w:val="both"/>
        <w:rPr>
          <w:rFonts w:ascii="Times New Roman" w:hAnsi="Times New Roman"/>
          <w:b/>
          <w:bCs/>
        </w:rPr>
      </w:pPr>
      <w:r w:rsidRPr="007929B5">
        <w:rPr>
          <w:rFonts w:ascii="Times New Roman" w:hAnsi="Times New Roman"/>
          <w:b/>
          <w:bCs/>
        </w:rPr>
        <w:t>Mērījumi novērošanas akās</w:t>
      </w:r>
    </w:p>
    <w:p w14:paraId="596B8B2F" w14:textId="22F542F4" w:rsidR="00EF4C5C" w:rsidRPr="007929B5" w:rsidRDefault="00EF4C5C" w:rsidP="00EF4C5C">
      <w:pPr>
        <w:jc w:val="both"/>
        <w:rPr>
          <w:rFonts w:ascii="Times New Roman" w:hAnsi="Times New Roman"/>
        </w:rPr>
      </w:pPr>
      <w:r w:rsidRPr="007929B5">
        <w:rPr>
          <w:rFonts w:ascii="Times New Roman" w:hAnsi="Times New Roman"/>
        </w:rPr>
        <w:t xml:space="preserve">Naftas produktu (NP) peldošā slāņa un gruntsūdens līmeņu (GŪL) mērījumi akās veicami ar speciālu, sertificētu aparatūru – nesajaucošos šķidrumu saskares virsmas detektoru, piemēram INTERFACE PROBE vai H.OIL, vai alternatīvu. Mērījumu precizitāte jāsasniedz &lt;1 mm. </w:t>
      </w:r>
    </w:p>
    <w:p w14:paraId="666D909B" w14:textId="77777777" w:rsidR="004241F5" w:rsidRPr="007929B5" w:rsidRDefault="004241F5" w:rsidP="00EF4C5C">
      <w:pPr>
        <w:jc w:val="both"/>
        <w:rPr>
          <w:rFonts w:ascii="Times New Roman" w:hAnsi="Times New Roman"/>
        </w:rPr>
      </w:pPr>
    </w:p>
    <w:p w14:paraId="27EA8BBD" w14:textId="7E464D36" w:rsidR="004241F5" w:rsidRPr="007929B5" w:rsidRDefault="004241F5" w:rsidP="00EF4C5C">
      <w:pPr>
        <w:jc w:val="both"/>
        <w:rPr>
          <w:rFonts w:ascii="Times New Roman" w:hAnsi="Times New Roman"/>
          <w:b/>
          <w:bCs/>
        </w:rPr>
      </w:pPr>
      <w:r w:rsidRPr="007929B5">
        <w:rPr>
          <w:rFonts w:ascii="Times New Roman" w:hAnsi="Times New Roman"/>
          <w:b/>
          <w:bCs/>
        </w:rPr>
        <w:t xml:space="preserve">Gruntsūdens </w:t>
      </w:r>
      <w:proofErr w:type="spellStart"/>
      <w:r w:rsidRPr="007929B5">
        <w:rPr>
          <w:rFonts w:ascii="Times New Roman" w:hAnsi="Times New Roman"/>
          <w:b/>
          <w:bCs/>
        </w:rPr>
        <w:t>paraugošana</w:t>
      </w:r>
      <w:proofErr w:type="spellEnd"/>
    </w:p>
    <w:p w14:paraId="35C0F4A3" w14:textId="25C594CF" w:rsidR="00EF4C5C" w:rsidRPr="007929B5" w:rsidRDefault="00EF4C5C" w:rsidP="00EF4C5C">
      <w:pPr>
        <w:jc w:val="both"/>
        <w:rPr>
          <w:rFonts w:ascii="Times New Roman" w:hAnsi="Times New Roman"/>
          <w:color w:val="FF0000"/>
        </w:rPr>
      </w:pPr>
      <w:r w:rsidRPr="007929B5">
        <w:rPr>
          <w:rFonts w:ascii="Times New Roman" w:hAnsi="Times New Roman"/>
        </w:rPr>
        <w:t xml:space="preserve">No akām, kurās netiek fiksēts NP peldošais slānis, jānoņem gruntsūdens paraugi. Gruntsūdens paraugu noņemšanai jāizmanto speciāli </w:t>
      </w:r>
      <w:proofErr w:type="spellStart"/>
      <w:r w:rsidRPr="007929B5">
        <w:rPr>
          <w:rFonts w:ascii="Times New Roman" w:hAnsi="Times New Roman"/>
        </w:rPr>
        <w:t>paraugošanas</w:t>
      </w:r>
      <w:proofErr w:type="spellEnd"/>
      <w:r w:rsidRPr="007929B5">
        <w:rPr>
          <w:rFonts w:ascii="Times New Roman" w:hAnsi="Times New Roman"/>
        </w:rPr>
        <w:t xml:space="preserve"> sūkņi. Pirms gruntsūdens paraugu noņemšanas, akas jāatsūknē līdz ūdens </w:t>
      </w:r>
      <w:proofErr w:type="spellStart"/>
      <w:r w:rsidRPr="007929B5">
        <w:rPr>
          <w:rFonts w:ascii="Times New Roman" w:hAnsi="Times New Roman"/>
        </w:rPr>
        <w:t>hidroķīmisko</w:t>
      </w:r>
      <w:proofErr w:type="spellEnd"/>
      <w:r w:rsidRPr="007929B5">
        <w:rPr>
          <w:rFonts w:ascii="Times New Roman" w:hAnsi="Times New Roman"/>
        </w:rPr>
        <w:t xml:space="preserve"> rādītāju - </w:t>
      </w:r>
      <w:proofErr w:type="spellStart"/>
      <w:r w:rsidRPr="007929B5">
        <w:rPr>
          <w:rFonts w:ascii="Times New Roman" w:hAnsi="Times New Roman"/>
        </w:rPr>
        <w:t>pH</w:t>
      </w:r>
      <w:proofErr w:type="spellEnd"/>
      <w:r w:rsidRPr="007929B5">
        <w:rPr>
          <w:rFonts w:ascii="Times New Roman" w:hAnsi="Times New Roman"/>
        </w:rPr>
        <w:t xml:space="preserve">, elektrovadītspējas un temperatūras stabilizācijai. Minētos ūdens fizikāli – ķīmiskos parametrus aku atsūknēšanas gaitā kontrolē, izmantojot specializētu aparatūru (pārnēsājamu lauku </w:t>
      </w:r>
      <w:proofErr w:type="spellStart"/>
      <w:r w:rsidRPr="007929B5">
        <w:rPr>
          <w:rFonts w:ascii="Times New Roman" w:hAnsi="Times New Roman"/>
        </w:rPr>
        <w:t>hidroķīmisko</w:t>
      </w:r>
      <w:proofErr w:type="spellEnd"/>
      <w:r w:rsidRPr="007929B5">
        <w:rPr>
          <w:rFonts w:ascii="Times New Roman" w:hAnsi="Times New Roman"/>
        </w:rPr>
        <w:t xml:space="preserve"> laboratoriju). Gadījumā, ja akā konstatēts NP peldošais slānis, tad jāveic šī slāņa atsmelšana/atsūknēšana. Nākamajā monitoringa ciklā </w:t>
      </w:r>
      <w:proofErr w:type="spellStart"/>
      <w:r w:rsidRPr="007929B5">
        <w:rPr>
          <w:rFonts w:ascii="Times New Roman" w:hAnsi="Times New Roman"/>
        </w:rPr>
        <w:t>paraugošanu</w:t>
      </w:r>
      <w:proofErr w:type="spellEnd"/>
      <w:r w:rsidRPr="007929B5">
        <w:rPr>
          <w:rFonts w:ascii="Times New Roman" w:hAnsi="Times New Roman"/>
        </w:rPr>
        <w:t xml:space="preserve"> veic arī no akām, kur iepriekš NP slānis konstatēts un atsmelts, bet konkrētajā reizē tas nav fiksēts. </w:t>
      </w:r>
    </w:p>
    <w:p w14:paraId="4675E356" w14:textId="77777777" w:rsidR="00EF4C5C" w:rsidRPr="007929B5" w:rsidRDefault="00EF4C5C" w:rsidP="00EF4C5C">
      <w:pPr>
        <w:jc w:val="both"/>
        <w:rPr>
          <w:rFonts w:ascii="Times New Roman" w:hAnsi="Times New Roman"/>
        </w:rPr>
      </w:pPr>
    </w:p>
    <w:p w14:paraId="339F3714" w14:textId="394DB5F7" w:rsidR="00EF4C5C" w:rsidRPr="007929B5" w:rsidRDefault="00EF4C5C" w:rsidP="00EF4C5C">
      <w:pPr>
        <w:jc w:val="both"/>
        <w:rPr>
          <w:rFonts w:ascii="Times New Roman" w:hAnsi="Times New Roman"/>
        </w:rPr>
      </w:pPr>
      <w:r w:rsidRPr="007929B5">
        <w:rPr>
          <w:rFonts w:ascii="Times New Roman" w:hAnsi="Times New Roman"/>
        </w:rPr>
        <w:t>Gruntsūdens paraugus jāiepilda speciālās pudelēs, kas ir piemērotas šādu paraugu uzglabāšanai un transportēšanai un atbilst laboratorijas, kur tiek veikta testēšana, prasībām, un pēc sagatavošanas pēc iespējas ātrāk jānogādā laboratorijā.</w:t>
      </w:r>
    </w:p>
    <w:p w14:paraId="7E10D620" w14:textId="77777777" w:rsidR="00EF4C5C" w:rsidRPr="007929B5" w:rsidRDefault="00EF4C5C" w:rsidP="00EF4C5C">
      <w:pPr>
        <w:jc w:val="both"/>
        <w:rPr>
          <w:rFonts w:ascii="Times New Roman" w:hAnsi="Times New Roman"/>
        </w:rPr>
      </w:pPr>
    </w:p>
    <w:p w14:paraId="66F37DFD" w14:textId="2110E6E8" w:rsidR="00EF4C5C" w:rsidRPr="007929B5" w:rsidRDefault="00EF4C5C" w:rsidP="00EF4C5C">
      <w:pPr>
        <w:jc w:val="both"/>
        <w:rPr>
          <w:rFonts w:ascii="Times New Roman" w:hAnsi="Times New Roman"/>
        </w:rPr>
      </w:pPr>
      <w:r w:rsidRPr="007929B5">
        <w:rPr>
          <w:rFonts w:ascii="Times New Roman" w:hAnsi="Times New Roman"/>
        </w:rPr>
        <w:t>Paraugu ņemšana, transportēšana un sagatavošana ir veicama atbilstoši attiecīgās jomas standartam, aktuālais jomas standarts ir Standarts LVS ISO 5667-11 “Ūdens kvalitāte. Paraugu ņemšana. 11. daļa: Norādījumi pazemes ūdeņu paraugu ņemšanai”.</w:t>
      </w:r>
    </w:p>
    <w:p w14:paraId="3DDD32C1" w14:textId="77777777" w:rsidR="003D343E" w:rsidRPr="007929B5" w:rsidRDefault="003D343E" w:rsidP="00EF4C5C">
      <w:pPr>
        <w:jc w:val="both"/>
        <w:rPr>
          <w:rFonts w:ascii="Times New Roman" w:hAnsi="Times New Roman"/>
        </w:rPr>
      </w:pPr>
    </w:p>
    <w:p w14:paraId="6186CD79" w14:textId="0B6A837F" w:rsidR="00EF4C5C" w:rsidRPr="007929B5" w:rsidRDefault="00EF4C5C" w:rsidP="00EF4C5C">
      <w:pPr>
        <w:jc w:val="both"/>
        <w:rPr>
          <w:rFonts w:ascii="Times New Roman" w:hAnsi="Times New Roman"/>
        </w:rPr>
      </w:pPr>
      <w:r w:rsidRPr="007929B5">
        <w:rPr>
          <w:rFonts w:ascii="Times New Roman" w:hAnsi="Times New Roman"/>
        </w:rPr>
        <w:t xml:space="preserve">Laboratorijas analīzes jāveic akreditētā laboratorijā ar akreditētām metodēm. </w:t>
      </w:r>
      <w:r w:rsidR="003D343E" w:rsidRPr="007929B5">
        <w:rPr>
          <w:rFonts w:ascii="Times New Roman" w:hAnsi="Times New Roman"/>
        </w:rPr>
        <w:t>A</w:t>
      </w:r>
      <w:r w:rsidRPr="007929B5">
        <w:rPr>
          <w:rFonts w:ascii="Times New Roman" w:hAnsi="Times New Roman"/>
        </w:rPr>
        <w:t>ktuālais standart</w:t>
      </w:r>
      <w:r w:rsidR="003D343E" w:rsidRPr="007929B5">
        <w:rPr>
          <w:rFonts w:ascii="Times New Roman" w:hAnsi="Times New Roman"/>
        </w:rPr>
        <w:t>s</w:t>
      </w:r>
      <w:r w:rsidRPr="007929B5">
        <w:rPr>
          <w:rFonts w:ascii="Times New Roman" w:hAnsi="Times New Roman"/>
        </w:rPr>
        <w:t xml:space="preserve"> LVS EN ISO/IEC 17025:2017 "Testēšanas un kalibrēšanas laboratoriju kompetences vispārīgās prasības (</w:t>
      </w:r>
      <w:proofErr w:type="spellStart"/>
      <w:r w:rsidRPr="007929B5">
        <w:rPr>
          <w:rFonts w:ascii="Times New Roman" w:hAnsi="Times New Roman"/>
        </w:rPr>
        <w:t>General</w:t>
      </w:r>
      <w:proofErr w:type="spellEnd"/>
      <w:r w:rsidRPr="007929B5">
        <w:rPr>
          <w:rFonts w:ascii="Times New Roman" w:hAnsi="Times New Roman"/>
        </w:rPr>
        <w:t xml:space="preserve"> </w:t>
      </w:r>
      <w:proofErr w:type="spellStart"/>
      <w:r w:rsidRPr="007929B5">
        <w:rPr>
          <w:rFonts w:ascii="Times New Roman" w:hAnsi="Times New Roman"/>
        </w:rPr>
        <w:t>requirements</w:t>
      </w:r>
      <w:proofErr w:type="spellEnd"/>
      <w:r w:rsidRPr="007929B5">
        <w:rPr>
          <w:rFonts w:ascii="Times New Roman" w:hAnsi="Times New Roman"/>
        </w:rPr>
        <w:t xml:space="preserve"> </w:t>
      </w:r>
      <w:proofErr w:type="spellStart"/>
      <w:r w:rsidRPr="007929B5">
        <w:rPr>
          <w:rFonts w:ascii="Times New Roman" w:hAnsi="Times New Roman"/>
        </w:rPr>
        <w:t>for</w:t>
      </w:r>
      <w:proofErr w:type="spellEnd"/>
      <w:r w:rsidRPr="007929B5">
        <w:rPr>
          <w:rFonts w:ascii="Times New Roman" w:hAnsi="Times New Roman"/>
        </w:rPr>
        <w:t xml:space="preserve"> </w:t>
      </w:r>
      <w:proofErr w:type="spellStart"/>
      <w:r w:rsidRPr="007929B5">
        <w:rPr>
          <w:rFonts w:ascii="Times New Roman" w:hAnsi="Times New Roman"/>
        </w:rPr>
        <w:t>the</w:t>
      </w:r>
      <w:proofErr w:type="spellEnd"/>
      <w:r w:rsidRPr="007929B5">
        <w:rPr>
          <w:rFonts w:ascii="Times New Roman" w:hAnsi="Times New Roman"/>
        </w:rPr>
        <w:t xml:space="preserve"> </w:t>
      </w:r>
      <w:proofErr w:type="spellStart"/>
      <w:r w:rsidRPr="007929B5">
        <w:rPr>
          <w:rFonts w:ascii="Times New Roman" w:hAnsi="Times New Roman"/>
        </w:rPr>
        <w:t>competence</w:t>
      </w:r>
      <w:proofErr w:type="spellEnd"/>
      <w:r w:rsidRPr="007929B5">
        <w:rPr>
          <w:rFonts w:ascii="Times New Roman" w:hAnsi="Times New Roman"/>
        </w:rPr>
        <w:t xml:space="preserve"> </w:t>
      </w:r>
      <w:proofErr w:type="spellStart"/>
      <w:r w:rsidRPr="007929B5">
        <w:rPr>
          <w:rFonts w:ascii="Times New Roman" w:hAnsi="Times New Roman"/>
        </w:rPr>
        <w:t>of</w:t>
      </w:r>
      <w:proofErr w:type="spellEnd"/>
      <w:r w:rsidRPr="007929B5">
        <w:rPr>
          <w:rFonts w:ascii="Times New Roman" w:hAnsi="Times New Roman"/>
        </w:rPr>
        <w:t xml:space="preserve"> </w:t>
      </w:r>
      <w:proofErr w:type="spellStart"/>
      <w:r w:rsidRPr="007929B5">
        <w:rPr>
          <w:rFonts w:ascii="Times New Roman" w:hAnsi="Times New Roman"/>
        </w:rPr>
        <w:t>testing</w:t>
      </w:r>
      <w:proofErr w:type="spellEnd"/>
      <w:r w:rsidRPr="007929B5">
        <w:rPr>
          <w:rFonts w:ascii="Times New Roman" w:hAnsi="Times New Roman"/>
        </w:rPr>
        <w:t xml:space="preserve"> </w:t>
      </w:r>
      <w:proofErr w:type="spellStart"/>
      <w:r w:rsidRPr="007929B5">
        <w:rPr>
          <w:rFonts w:ascii="Times New Roman" w:hAnsi="Times New Roman"/>
        </w:rPr>
        <w:t>and</w:t>
      </w:r>
      <w:proofErr w:type="spellEnd"/>
      <w:r w:rsidRPr="007929B5">
        <w:rPr>
          <w:rFonts w:ascii="Times New Roman" w:hAnsi="Times New Roman"/>
        </w:rPr>
        <w:t xml:space="preserve"> </w:t>
      </w:r>
      <w:proofErr w:type="spellStart"/>
      <w:r w:rsidRPr="007929B5">
        <w:rPr>
          <w:rFonts w:ascii="Times New Roman" w:hAnsi="Times New Roman"/>
        </w:rPr>
        <w:t>calibration</w:t>
      </w:r>
      <w:proofErr w:type="spellEnd"/>
      <w:r w:rsidRPr="007929B5">
        <w:rPr>
          <w:rFonts w:ascii="Times New Roman" w:hAnsi="Times New Roman"/>
        </w:rPr>
        <w:t xml:space="preserve"> </w:t>
      </w:r>
      <w:proofErr w:type="spellStart"/>
      <w:r w:rsidRPr="007929B5">
        <w:rPr>
          <w:rFonts w:ascii="Times New Roman" w:hAnsi="Times New Roman"/>
        </w:rPr>
        <w:t>laboratories</w:t>
      </w:r>
      <w:proofErr w:type="spellEnd"/>
      <w:r w:rsidRPr="007929B5">
        <w:rPr>
          <w:rFonts w:ascii="Times New Roman" w:hAnsi="Times New Roman"/>
        </w:rPr>
        <w:t xml:space="preserve"> )", bet NP indeksa testēšanas aktuālais standarts ir LVS EN ISO 9377-2:2001, BTEX testēšanas aktuālais standarts ir ISO 11423-1:1997.</w:t>
      </w:r>
    </w:p>
    <w:p w14:paraId="670881C6" w14:textId="77777777" w:rsidR="004241F5" w:rsidRPr="007929B5" w:rsidRDefault="004241F5" w:rsidP="00EF4C5C">
      <w:pPr>
        <w:jc w:val="both"/>
        <w:rPr>
          <w:rFonts w:ascii="Times New Roman" w:hAnsi="Times New Roman"/>
        </w:rPr>
      </w:pPr>
    </w:p>
    <w:p w14:paraId="151887A1" w14:textId="4E4BE238" w:rsidR="004241F5" w:rsidRPr="007929B5" w:rsidRDefault="004241F5" w:rsidP="00EF4C5C">
      <w:pPr>
        <w:jc w:val="both"/>
        <w:rPr>
          <w:rFonts w:ascii="Times New Roman" w:hAnsi="Times New Roman"/>
          <w:b/>
          <w:bCs/>
        </w:rPr>
      </w:pPr>
      <w:r w:rsidRPr="007929B5">
        <w:rPr>
          <w:rFonts w:ascii="Times New Roman" w:hAnsi="Times New Roman"/>
          <w:b/>
          <w:bCs/>
        </w:rPr>
        <w:t>Vides aizsardzības pasākumi</w:t>
      </w:r>
    </w:p>
    <w:p w14:paraId="1A2384AE" w14:textId="20772022" w:rsidR="00EF4C5C" w:rsidRPr="007929B5" w:rsidRDefault="00EF4C5C" w:rsidP="00EF4C5C">
      <w:pPr>
        <w:jc w:val="both"/>
        <w:rPr>
          <w:rFonts w:ascii="Times New Roman" w:hAnsi="Times New Roman"/>
        </w:rPr>
      </w:pPr>
      <w:r w:rsidRPr="007929B5">
        <w:rPr>
          <w:rFonts w:ascii="Times New Roman" w:hAnsi="Times New Roman"/>
        </w:rPr>
        <w:t>Veicot monitoringa darbus, objektā jāievēro atbilstoši vides aizsardzības pasākumi:</w:t>
      </w:r>
    </w:p>
    <w:p w14:paraId="5FA5CA6C" w14:textId="77777777" w:rsidR="00EF4C5C" w:rsidRPr="007929B5" w:rsidRDefault="00EF4C5C" w:rsidP="00EF4C5C">
      <w:pPr>
        <w:numPr>
          <w:ilvl w:val="0"/>
          <w:numId w:val="1"/>
        </w:numPr>
        <w:jc w:val="both"/>
        <w:rPr>
          <w:rFonts w:ascii="Times New Roman" w:hAnsi="Times New Roman"/>
        </w:rPr>
      </w:pPr>
      <w:r w:rsidRPr="007929B5">
        <w:rPr>
          <w:rFonts w:ascii="Times New Roman" w:hAnsi="Times New Roman"/>
        </w:rPr>
        <w:t>jānodrošina piesārņoto materiālu un atkritumu (piesārņotā grunts no urbumiem, cimdi, absorbējošie materiāli u.c.), kas radīsies darbu izpildes gaitā, savākšana un nogādāšana utilizācijai;</w:t>
      </w:r>
    </w:p>
    <w:p w14:paraId="78DAEE19" w14:textId="1D63E13D" w:rsidR="00EF4C5C" w:rsidRPr="007929B5" w:rsidRDefault="00EF4C5C" w:rsidP="00EF4C5C">
      <w:pPr>
        <w:numPr>
          <w:ilvl w:val="0"/>
          <w:numId w:val="1"/>
        </w:numPr>
        <w:jc w:val="both"/>
        <w:rPr>
          <w:rFonts w:ascii="Times New Roman" w:hAnsi="Times New Roman"/>
        </w:rPr>
      </w:pPr>
      <w:r w:rsidRPr="007929B5">
        <w:rPr>
          <w:rFonts w:ascii="Times New Roman" w:hAnsi="Times New Roman"/>
        </w:rPr>
        <w:t>darbu izpildes metodikai jānodrošina t</w:t>
      </w:r>
      <w:r w:rsidR="004241F5" w:rsidRPr="007929B5">
        <w:rPr>
          <w:rFonts w:ascii="Times New Roman" w:hAnsi="Times New Roman"/>
        </w:rPr>
        <w:t>as</w:t>
      </w:r>
      <w:r w:rsidRPr="007929B5">
        <w:rPr>
          <w:rFonts w:ascii="Times New Roman" w:hAnsi="Times New Roman"/>
        </w:rPr>
        <w:t>, ka vidē nenokļūst sekundārais piesārņojums, un netiks piesārņotas jaunas, līdz šim tīras teritorijas.</w:t>
      </w:r>
    </w:p>
    <w:p w14:paraId="62C014C5" w14:textId="77777777" w:rsidR="004241F5" w:rsidRPr="007929B5" w:rsidRDefault="004241F5" w:rsidP="004241F5">
      <w:pPr>
        <w:jc w:val="both"/>
        <w:rPr>
          <w:rFonts w:ascii="Times New Roman" w:hAnsi="Times New Roman"/>
        </w:rPr>
      </w:pPr>
    </w:p>
    <w:p w14:paraId="0C7B616A" w14:textId="06BF0644" w:rsidR="004241F5" w:rsidRPr="007929B5" w:rsidRDefault="004241F5" w:rsidP="004241F5">
      <w:pPr>
        <w:jc w:val="both"/>
        <w:rPr>
          <w:rFonts w:ascii="Times New Roman" w:hAnsi="Times New Roman"/>
          <w:b/>
          <w:bCs/>
        </w:rPr>
      </w:pPr>
      <w:r w:rsidRPr="007929B5">
        <w:rPr>
          <w:rFonts w:ascii="Times New Roman" w:hAnsi="Times New Roman"/>
          <w:b/>
          <w:bCs/>
        </w:rPr>
        <w:t>Monitoringa biežums un ilgums</w:t>
      </w:r>
    </w:p>
    <w:p w14:paraId="01ED2BB3" w14:textId="5135E479" w:rsidR="00EF4C5C" w:rsidRPr="007929B5" w:rsidRDefault="00EF4C5C" w:rsidP="00EF4C5C">
      <w:pPr>
        <w:jc w:val="both"/>
        <w:rPr>
          <w:rFonts w:ascii="Times New Roman" w:hAnsi="Times New Roman"/>
        </w:rPr>
      </w:pPr>
      <w:r w:rsidRPr="007929B5">
        <w:rPr>
          <w:rFonts w:ascii="Times New Roman" w:hAnsi="Times New Roman"/>
        </w:rPr>
        <w:t xml:space="preserve">Plānotais </w:t>
      </w:r>
      <w:proofErr w:type="spellStart"/>
      <w:r w:rsidRPr="007929B5">
        <w:rPr>
          <w:rFonts w:ascii="Times New Roman" w:hAnsi="Times New Roman"/>
        </w:rPr>
        <w:t>pēcsanācijas</w:t>
      </w:r>
      <w:proofErr w:type="spellEnd"/>
      <w:r w:rsidRPr="007929B5">
        <w:rPr>
          <w:rFonts w:ascii="Times New Roman" w:hAnsi="Times New Roman"/>
        </w:rPr>
        <w:t xml:space="preserve"> monitoringa ilgums ir 5 gadi</w:t>
      </w:r>
      <w:r w:rsidR="00690A29">
        <w:rPr>
          <w:rFonts w:ascii="Times New Roman" w:hAnsi="Times New Roman"/>
        </w:rPr>
        <w:t>:</w:t>
      </w:r>
      <w:r w:rsidRPr="007929B5">
        <w:rPr>
          <w:rFonts w:ascii="Times New Roman" w:hAnsi="Times New Roman"/>
        </w:rPr>
        <w:t xml:space="preserve"> </w:t>
      </w:r>
      <w:r w:rsidR="00690A29" w:rsidRPr="00DF6F9E">
        <w:rPr>
          <w:rFonts w:ascii="Times New Roman" w:hAnsi="Times New Roman"/>
        </w:rPr>
        <w:t>orientējoši</w:t>
      </w:r>
      <w:r w:rsidRPr="00DF6F9E">
        <w:rPr>
          <w:rFonts w:ascii="Times New Roman" w:hAnsi="Times New Roman"/>
        </w:rPr>
        <w:t xml:space="preserve"> no 2024. gada </w:t>
      </w:r>
      <w:r w:rsidR="00690A29" w:rsidRPr="00DF6F9E">
        <w:rPr>
          <w:rFonts w:ascii="Times New Roman" w:hAnsi="Times New Roman"/>
        </w:rPr>
        <w:t>1.jūlija</w:t>
      </w:r>
      <w:r w:rsidRPr="00DF6F9E">
        <w:rPr>
          <w:rFonts w:ascii="Times New Roman" w:hAnsi="Times New Roman"/>
        </w:rPr>
        <w:t xml:space="preserve"> līdz 2029. gada </w:t>
      </w:r>
      <w:r w:rsidR="00690A29" w:rsidRPr="00DF6F9E">
        <w:rPr>
          <w:rFonts w:ascii="Times New Roman" w:hAnsi="Times New Roman"/>
        </w:rPr>
        <w:t>30.jūnijam</w:t>
      </w:r>
      <w:r w:rsidRPr="00DF6F9E">
        <w:rPr>
          <w:rFonts w:ascii="Times New Roman" w:hAnsi="Times New Roman"/>
        </w:rPr>
        <w:t xml:space="preserve">, pavisam realizējot 7 monitoringa ciklus, attiecīgi visu piecu gadu garumā veicot GŪ paraugu noņemšanu </w:t>
      </w:r>
      <w:r w:rsidR="00690A29" w:rsidRPr="00DF6F9E">
        <w:rPr>
          <w:rFonts w:ascii="Times New Roman" w:hAnsi="Times New Roman"/>
        </w:rPr>
        <w:t>katru gadu 1 reizi laika posmā no 1.janvāra līdz 30.jūnijam</w:t>
      </w:r>
      <w:r w:rsidRPr="00DF6F9E">
        <w:rPr>
          <w:rFonts w:ascii="Times New Roman" w:hAnsi="Times New Roman"/>
        </w:rPr>
        <w:t xml:space="preserve">, bet </w:t>
      </w:r>
      <w:proofErr w:type="spellStart"/>
      <w:r w:rsidRPr="00DF6F9E">
        <w:rPr>
          <w:rFonts w:ascii="Times New Roman" w:hAnsi="Times New Roman"/>
        </w:rPr>
        <w:t>pēcsanācijas</w:t>
      </w:r>
      <w:proofErr w:type="spellEnd"/>
      <w:r w:rsidRPr="00DF6F9E">
        <w:rPr>
          <w:rFonts w:ascii="Times New Roman" w:hAnsi="Times New Roman"/>
        </w:rPr>
        <w:t xml:space="preserve"> monitoringa pirmajos gados </w:t>
      </w:r>
      <w:r w:rsidR="00690A29" w:rsidRPr="00DF6F9E">
        <w:rPr>
          <w:rFonts w:ascii="Times New Roman" w:hAnsi="Times New Roman"/>
        </w:rPr>
        <w:t xml:space="preserve">2 (2024.gads un 2025.gads) </w:t>
      </w:r>
      <w:r w:rsidRPr="00DF6F9E">
        <w:rPr>
          <w:rFonts w:ascii="Times New Roman" w:hAnsi="Times New Roman"/>
        </w:rPr>
        <w:t xml:space="preserve">papildus veicot GŪL un </w:t>
      </w:r>
      <w:r w:rsidRPr="00DF6F9E">
        <w:rPr>
          <w:rFonts w:ascii="Times New Roman" w:hAnsi="Times New Roman"/>
        </w:rPr>
        <w:lastRenderedPageBreak/>
        <w:t xml:space="preserve">NP mērījumus </w:t>
      </w:r>
      <w:r w:rsidR="00690A29" w:rsidRPr="00DF6F9E">
        <w:rPr>
          <w:rFonts w:ascii="Times New Roman" w:hAnsi="Times New Roman"/>
        </w:rPr>
        <w:t>1 reizi laika posmā no 1.jūlija līdz 31.decembrim</w:t>
      </w:r>
      <w:r w:rsidRPr="00DF6F9E">
        <w:rPr>
          <w:rFonts w:ascii="Times New Roman" w:hAnsi="Times New Roman"/>
        </w:rPr>
        <w:t xml:space="preserve">. </w:t>
      </w:r>
      <w:r w:rsidR="003D343E" w:rsidRPr="00DF6F9E">
        <w:rPr>
          <w:rFonts w:ascii="Times New Roman" w:hAnsi="Times New Roman"/>
        </w:rPr>
        <w:t>1</w:t>
      </w:r>
      <w:r w:rsidRPr="00DF6F9E">
        <w:rPr>
          <w:rFonts w:ascii="Times New Roman" w:hAnsi="Times New Roman"/>
        </w:rPr>
        <w:t>. tabulā iekļauts provizorisks monitoringa aktivitāšu laika grafiks.</w:t>
      </w:r>
    </w:p>
    <w:p w14:paraId="02B213D3" w14:textId="77777777" w:rsidR="00EF4C5C" w:rsidRPr="007929B5" w:rsidRDefault="00EF4C5C" w:rsidP="00EF4C5C">
      <w:pPr>
        <w:rPr>
          <w:rFonts w:ascii="Times New Roman" w:hAnsi="Times New Roman"/>
        </w:rPr>
      </w:pPr>
    </w:p>
    <w:p w14:paraId="04AF3610" w14:textId="77777777" w:rsidR="00EF4C5C" w:rsidRPr="007929B5" w:rsidRDefault="00EF4C5C" w:rsidP="00EF4C5C">
      <w:pPr>
        <w:pStyle w:val="Tabulasnosaukums"/>
        <w:numPr>
          <w:ilvl w:val="0"/>
          <w:numId w:val="4"/>
        </w:numPr>
        <w:jc w:val="right"/>
        <w:rPr>
          <w:rFonts w:ascii="Times New Roman" w:hAnsi="Times New Roman"/>
        </w:rPr>
      </w:pPr>
      <w:r w:rsidRPr="007929B5">
        <w:rPr>
          <w:rFonts w:ascii="Times New Roman" w:hAnsi="Times New Roman"/>
        </w:rPr>
        <w:t>TABULA</w:t>
      </w:r>
    </w:p>
    <w:p w14:paraId="50B9B4F6" w14:textId="77777777" w:rsidR="00EF4C5C" w:rsidRPr="007929B5" w:rsidRDefault="00EF4C5C" w:rsidP="00EF4C5C">
      <w:pPr>
        <w:pStyle w:val="Tabulasnosaukums"/>
        <w:spacing w:after="0"/>
        <w:rPr>
          <w:rFonts w:ascii="Times New Roman" w:hAnsi="Times New Roman"/>
        </w:rPr>
      </w:pPr>
      <w:r w:rsidRPr="007929B5">
        <w:rPr>
          <w:rFonts w:ascii="Times New Roman" w:hAnsi="Times New Roman"/>
        </w:rPr>
        <w:t>Monitoringa aktivitāšu laika grafiks</w:t>
      </w:r>
    </w:p>
    <w:p w14:paraId="7F601991" w14:textId="77777777" w:rsidR="00EF4C5C" w:rsidRPr="007929B5" w:rsidRDefault="00EF4C5C" w:rsidP="00EF4C5C">
      <w:pPr>
        <w:rPr>
          <w:rFonts w:ascii="Times New Roman" w:hAnsi="Times New Roman"/>
        </w:rPr>
      </w:pPr>
    </w:p>
    <w:tbl>
      <w:tblPr>
        <w:tblStyle w:val="Reatabula"/>
        <w:tblW w:w="0" w:type="auto"/>
        <w:jc w:val="center"/>
        <w:tblLook w:val="04A0" w:firstRow="1" w:lastRow="0" w:firstColumn="1" w:lastColumn="0" w:noHBand="0" w:noVBand="1"/>
      </w:tblPr>
      <w:tblGrid>
        <w:gridCol w:w="4035"/>
        <w:gridCol w:w="610"/>
        <w:gridCol w:w="608"/>
        <w:gridCol w:w="609"/>
        <w:gridCol w:w="609"/>
        <w:gridCol w:w="608"/>
        <w:gridCol w:w="609"/>
        <w:gridCol w:w="608"/>
      </w:tblGrid>
      <w:tr w:rsidR="006D2A70" w:rsidRPr="007929B5" w14:paraId="3A76C1D3" w14:textId="77777777" w:rsidTr="006D2A70">
        <w:trPr>
          <w:cantSplit/>
          <w:trHeight w:val="1472"/>
          <w:jc w:val="center"/>
        </w:trPr>
        <w:tc>
          <w:tcPr>
            <w:tcW w:w="4794" w:type="dxa"/>
            <w:shd w:val="clear" w:color="auto" w:fill="002060"/>
          </w:tcPr>
          <w:p w14:paraId="24C1DEB7" w14:textId="77777777" w:rsidR="00EF4C5C" w:rsidRPr="007929B5" w:rsidRDefault="00EF4C5C" w:rsidP="00336727">
            <w:pPr>
              <w:rPr>
                <w:b/>
                <w:bCs/>
              </w:rPr>
            </w:pPr>
            <w:bookmarkStart w:id="5" w:name="_Hlk167806636"/>
            <w:r w:rsidRPr="007929B5">
              <w:rPr>
                <w:b/>
                <w:bCs/>
              </w:rPr>
              <w:t>Aktivitāte</w:t>
            </w:r>
          </w:p>
        </w:tc>
        <w:tc>
          <w:tcPr>
            <w:tcW w:w="652" w:type="dxa"/>
            <w:shd w:val="clear" w:color="auto" w:fill="002060"/>
            <w:textDirection w:val="btLr"/>
          </w:tcPr>
          <w:p w14:paraId="3C89E2E1" w14:textId="1016D80E" w:rsidR="00EF4C5C" w:rsidRPr="007929B5" w:rsidRDefault="00690A29" w:rsidP="006D2A70">
            <w:pPr>
              <w:ind w:left="113" w:right="113"/>
              <w:rPr>
                <w:b/>
                <w:bCs/>
              </w:rPr>
            </w:pPr>
            <w:r>
              <w:rPr>
                <w:b/>
                <w:bCs/>
              </w:rPr>
              <w:t>20</w:t>
            </w:r>
            <w:r w:rsidR="00EF4C5C" w:rsidRPr="007929B5">
              <w:rPr>
                <w:b/>
                <w:bCs/>
              </w:rPr>
              <w:t>24</w:t>
            </w:r>
            <w:r>
              <w:rPr>
                <w:b/>
                <w:bCs/>
              </w:rPr>
              <w:t>.gads (01.07.-31.12)</w:t>
            </w:r>
          </w:p>
        </w:tc>
        <w:tc>
          <w:tcPr>
            <w:tcW w:w="650" w:type="dxa"/>
            <w:shd w:val="clear" w:color="auto" w:fill="002060"/>
            <w:textDirection w:val="btLr"/>
          </w:tcPr>
          <w:p w14:paraId="10D1A7C2" w14:textId="33C1CF19" w:rsidR="00EF4C5C" w:rsidRPr="007929B5" w:rsidRDefault="00690A29" w:rsidP="006D2A70">
            <w:pPr>
              <w:ind w:left="113" w:right="113"/>
              <w:rPr>
                <w:b/>
                <w:bCs/>
              </w:rPr>
            </w:pPr>
            <w:r>
              <w:rPr>
                <w:b/>
                <w:bCs/>
              </w:rPr>
              <w:t>20</w:t>
            </w:r>
            <w:r w:rsidR="00EF4C5C" w:rsidRPr="007929B5">
              <w:rPr>
                <w:b/>
                <w:bCs/>
              </w:rPr>
              <w:t>25</w:t>
            </w:r>
            <w:r>
              <w:rPr>
                <w:b/>
                <w:bCs/>
              </w:rPr>
              <w:t>.gads (01.01.-30.06)</w:t>
            </w:r>
          </w:p>
        </w:tc>
        <w:tc>
          <w:tcPr>
            <w:tcW w:w="651" w:type="dxa"/>
            <w:shd w:val="clear" w:color="auto" w:fill="002060"/>
            <w:textDirection w:val="btLr"/>
          </w:tcPr>
          <w:p w14:paraId="561D8508" w14:textId="12188500" w:rsidR="00EF4C5C" w:rsidRPr="007929B5" w:rsidRDefault="00690A29" w:rsidP="006D2A70">
            <w:pPr>
              <w:ind w:left="113" w:right="113"/>
              <w:rPr>
                <w:b/>
                <w:bCs/>
              </w:rPr>
            </w:pPr>
            <w:r>
              <w:rPr>
                <w:b/>
                <w:bCs/>
              </w:rPr>
              <w:t>20</w:t>
            </w:r>
            <w:r w:rsidR="00EF4C5C" w:rsidRPr="007929B5">
              <w:rPr>
                <w:b/>
                <w:bCs/>
              </w:rPr>
              <w:t>25</w:t>
            </w:r>
            <w:r>
              <w:rPr>
                <w:b/>
                <w:bCs/>
              </w:rPr>
              <w:t>.gads (01.07.-31.12)</w:t>
            </w:r>
          </w:p>
        </w:tc>
        <w:tc>
          <w:tcPr>
            <w:tcW w:w="651" w:type="dxa"/>
            <w:shd w:val="clear" w:color="auto" w:fill="002060"/>
            <w:textDirection w:val="btLr"/>
          </w:tcPr>
          <w:p w14:paraId="45856FA7" w14:textId="3DD0588A" w:rsidR="00EF4C5C" w:rsidRPr="007929B5" w:rsidRDefault="00690A29" w:rsidP="006D2A70">
            <w:pPr>
              <w:ind w:left="113" w:right="113"/>
              <w:rPr>
                <w:b/>
                <w:bCs/>
              </w:rPr>
            </w:pPr>
            <w:r>
              <w:rPr>
                <w:b/>
                <w:bCs/>
              </w:rPr>
              <w:t>20</w:t>
            </w:r>
            <w:r w:rsidR="00EF4C5C" w:rsidRPr="007929B5">
              <w:rPr>
                <w:b/>
                <w:bCs/>
              </w:rPr>
              <w:t>26</w:t>
            </w:r>
            <w:r>
              <w:rPr>
                <w:b/>
                <w:bCs/>
              </w:rPr>
              <w:t xml:space="preserve">.gads </w:t>
            </w:r>
            <w:r w:rsidR="006D2A70">
              <w:rPr>
                <w:b/>
                <w:bCs/>
              </w:rPr>
              <w:t>(01.01.-30.06)</w:t>
            </w:r>
          </w:p>
        </w:tc>
        <w:tc>
          <w:tcPr>
            <w:tcW w:w="650" w:type="dxa"/>
            <w:shd w:val="clear" w:color="auto" w:fill="002060"/>
            <w:textDirection w:val="btLr"/>
          </w:tcPr>
          <w:p w14:paraId="2B193B27" w14:textId="71001040" w:rsidR="00EF4C5C" w:rsidRPr="007929B5" w:rsidRDefault="006D2A70" w:rsidP="006D2A70">
            <w:pPr>
              <w:ind w:left="113" w:right="113"/>
              <w:rPr>
                <w:b/>
                <w:bCs/>
              </w:rPr>
            </w:pPr>
            <w:r>
              <w:rPr>
                <w:b/>
                <w:bCs/>
              </w:rPr>
              <w:t>20</w:t>
            </w:r>
            <w:r w:rsidR="00EF4C5C" w:rsidRPr="007929B5">
              <w:rPr>
                <w:b/>
                <w:bCs/>
              </w:rPr>
              <w:t>27</w:t>
            </w:r>
            <w:r>
              <w:rPr>
                <w:b/>
                <w:bCs/>
              </w:rPr>
              <w:t>.gads (01.01.-30.06)</w:t>
            </w:r>
          </w:p>
        </w:tc>
        <w:tc>
          <w:tcPr>
            <w:tcW w:w="651" w:type="dxa"/>
            <w:shd w:val="clear" w:color="auto" w:fill="002060"/>
            <w:textDirection w:val="btLr"/>
          </w:tcPr>
          <w:p w14:paraId="01FF06B6" w14:textId="7D275219" w:rsidR="00EF4C5C" w:rsidRPr="007929B5" w:rsidRDefault="006D2A70" w:rsidP="006D2A70">
            <w:pPr>
              <w:ind w:left="113" w:right="113"/>
              <w:rPr>
                <w:b/>
                <w:bCs/>
              </w:rPr>
            </w:pPr>
            <w:r>
              <w:rPr>
                <w:b/>
                <w:bCs/>
              </w:rPr>
              <w:t>20</w:t>
            </w:r>
            <w:r w:rsidR="00EF4C5C" w:rsidRPr="007929B5">
              <w:rPr>
                <w:b/>
                <w:bCs/>
              </w:rPr>
              <w:t>28</w:t>
            </w:r>
            <w:r>
              <w:rPr>
                <w:b/>
                <w:bCs/>
              </w:rPr>
              <w:t>.gads (01.01.-30.06)</w:t>
            </w:r>
          </w:p>
        </w:tc>
        <w:tc>
          <w:tcPr>
            <w:tcW w:w="650" w:type="dxa"/>
            <w:shd w:val="clear" w:color="auto" w:fill="002060"/>
            <w:textDirection w:val="btLr"/>
          </w:tcPr>
          <w:p w14:paraId="2FB128CB" w14:textId="64443A9C" w:rsidR="00EF4C5C" w:rsidRPr="007929B5" w:rsidRDefault="006D2A70" w:rsidP="006D2A70">
            <w:pPr>
              <w:ind w:left="113" w:right="113"/>
              <w:rPr>
                <w:b/>
                <w:bCs/>
              </w:rPr>
            </w:pPr>
            <w:r>
              <w:rPr>
                <w:b/>
                <w:bCs/>
              </w:rPr>
              <w:t>20</w:t>
            </w:r>
            <w:r w:rsidR="00EF4C5C" w:rsidRPr="007929B5">
              <w:rPr>
                <w:b/>
                <w:bCs/>
              </w:rPr>
              <w:t>29</w:t>
            </w:r>
            <w:r>
              <w:rPr>
                <w:b/>
                <w:bCs/>
              </w:rPr>
              <w:t>.gads (01.01.-30.06)</w:t>
            </w:r>
          </w:p>
        </w:tc>
      </w:tr>
      <w:tr w:rsidR="006D2A70" w:rsidRPr="007929B5" w14:paraId="7215631A" w14:textId="77777777" w:rsidTr="00336727">
        <w:trPr>
          <w:jc w:val="center"/>
        </w:trPr>
        <w:tc>
          <w:tcPr>
            <w:tcW w:w="4794" w:type="dxa"/>
          </w:tcPr>
          <w:p w14:paraId="78F69078" w14:textId="77777777" w:rsidR="00EF4C5C" w:rsidRPr="007929B5" w:rsidRDefault="00EF4C5C" w:rsidP="00336727">
            <w:pPr>
              <w:rPr>
                <w:i/>
                <w:iCs/>
              </w:rPr>
            </w:pPr>
            <w:proofErr w:type="spellStart"/>
            <w:r w:rsidRPr="007929B5">
              <w:rPr>
                <w:i/>
                <w:iCs/>
              </w:rPr>
              <w:t>Mon</w:t>
            </w:r>
            <w:proofErr w:type="spellEnd"/>
            <w:r w:rsidRPr="007929B5">
              <w:rPr>
                <w:i/>
                <w:iCs/>
              </w:rPr>
              <w:t xml:space="preserve">. aku </w:t>
            </w:r>
            <w:proofErr w:type="spellStart"/>
            <w:r w:rsidRPr="007929B5">
              <w:rPr>
                <w:i/>
                <w:iCs/>
              </w:rPr>
              <w:t>tehn</w:t>
            </w:r>
            <w:proofErr w:type="spellEnd"/>
            <w:r w:rsidRPr="007929B5">
              <w:rPr>
                <w:i/>
                <w:iCs/>
              </w:rPr>
              <w:t>. stāvokļa apsekošana 20 gab.</w:t>
            </w:r>
          </w:p>
        </w:tc>
        <w:tc>
          <w:tcPr>
            <w:tcW w:w="652" w:type="dxa"/>
            <w:shd w:val="clear" w:color="auto" w:fill="B3E5A1" w:themeFill="accent6" w:themeFillTint="66"/>
          </w:tcPr>
          <w:p w14:paraId="26113D1D" w14:textId="77777777" w:rsidR="00EF4C5C" w:rsidRPr="007929B5" w:rsidRDefault="00EF4C5C" w:rsidP="00336727"/>
        </w:tc>
        <w:tc>
          <w:tcPr>
            <w:tcW w:w="650" w:type="dxa"/>
            <w:shd w:val="clear" w:color="auto" w:fill="B3E5A1" w:themeFill="accent6" w:themeFillTint="66"/>
          </w:tcPr>
          <w:p w14:paraId="7E623C33" w14:textId="77777777" w:rsidR="00EF4C5C" w:rsidRPr="007929B5" w:rsidRDefault="00EF4C5C" w:rsidP="00336727"/>
        </w:tc>
        <w:tc>
          <w:tcPr>
            <w:tcW w:w="651" w:type="dxa"/>
            <w:shd w:val="clear" w:color="auto" w:fill="B3E5A1" w:themeFill="accent6" w:themeFillTint="66"/>
          </w:tcPr>
          <w:p w14:paraId="19AC7959" w14:textId="77777777" w:rsidR="00EF4C5C" w:rsidRPr="007929B5" w:rsidRDefault="00EF4C5C" w:rsidP="00336727"/>
        </w:tc>
        <w:tc>
          <w:tcPr>
            <w:tcW w:w="651" w:type="dxa"/>
            <w:shd w:val="clear" w:color="auto" w:fill="B3E5A1" w:themeFill="accent6" w:themeFillTint="66"/>
          </w:tcPr>
          <w:p w14:paraId="08B818E3" w14:textId="77777777" w:rsidR="00EF4C5C" w:rsidRPr="007929B5" w:rsidRDefault="00EF4C5C" w:rsidP="00336727"/>
        </w:tc>
        <w:tc>
          <w:tcPr>
            <w:tcW w:w="650" w:type="dxa"/>
            <w:shd w:val="clear" w:color="auto" w:fill="B3E5A1" w:themeFill="accent6" w:themeFillTint="66"/>
          </w:tcPr>
          <w:p w14:paraId="199F6FDE" w14:textId="77777777" w:rsidR="00EF4C5C" w:rsidRPr="007929B5" w:rsidRDefault="00EF4C5C" w:rsidP="00336727"/>
        </w:tc>
        <w:tc>
          <w:tcPr>
            <w:tcW w:w="651" w:type="dxa"/>
            <w:shd w:val="clear" w:color="auto" w:fill="B3E5A1" w:themeFill="accent6" w:themeFillTint="66"/>
          </w:tcPr>
          <w:p w14:paraId="1493625B" w14:textId="77777777" w:rsidR="00EF4C5C" w:rsidRPr="007929B5" w:rsidRDefault="00EF4C5C" w:rsidP="00336727"/>
        </w:tc>
        <w:tc>
          <w:tcPr>
            <w:tcW w:w="650" w:type="dxa"/>
            <w:shd w:val="clear" w:color="auto" w:fill="B3E5A1" w:themeFill="accent6" w:themeFillTint="66"/>
          </w:tcPr>
          <w:p w14:paraId="7530F434" w14:textId="77777777" w:rsidR="00EF4C5C" w:rsidRPr="007929B5" w:rsidRDefault="00EF4C5C" w:rsidP="00336727"/>
        </w:tc>
      </w:tr>
      <w:bookmarkEnd w:id="5"/>
      <w:tr w:rsidR="006D2A70" w:rsidRPr="007929B5" w14:paraId="06A659CC" w14:textId="77777777" w:rsidTr="00336727">
        <w:trPr>
          <w:jc w:val="center"/>
        </w:trPr>
        <w:tc>
          <w:tcPr>
            <w:tcW w:w="4794" w:type="dxa"/>
          </w:tcPr>
          <w:p w14:paraId="3987D229" w14:textId="77777777" w:rsidR="00EF4C5C" w:rsidRPr="007929B5" w:rsidRDefault="00EF4C5C" w:rsidP="00336727">
            <w:pPr>
              <w:rPr>
                <w:i/>
                <w:iCs/>
              </w:rPr>
            </w:pPr>
            <w:r w:rsidRPr="007929B5">
              <w:rPr>
                <w:i/>
                <w:iCs/>
              </w:rPr>
              <w:t>GŪL un NP mērījumi 20 gab.</w:t>
            </w:r>
          </w:p>
        </w:tc>
        <w:tc>
          <w:tcPr>
            <w:tcW w:w="652" w:type="dxa"/>
            <w:shd w:val="clear" w:color="auto" w:fill="B3E5A1" w:themeFill="accent6" w:themeFillTint="66"/>
          </w:tcPr>
          <w:p w14:paraId="2A963029" w14:textId="77777777" w:rsidR="00EF4C5C" w:rsidRPr="007929B5" w:rsidRDefault="00EF4C5C" w:rsidP="00336727"/>
        </w:tc>
        <w:tc>
          <w:tcPr>
            <w:tcW w:w="650" w:type="dxa"/>
            <w:shd w:val="clear" w:color="auto" w:fill="B3E5A1" w:themeFill="accent6" w:themeFillTint="66"/>
          </w:tcPr>
          <w:p w14:paraId="5EC25063" w14:textId="77777777" w:rsidR="00EF4C5C" w:rsidRPr="007929B5" w:rsidRDefault="00EF4C5C" w:rsidP="00336727"/>
        </w:tc>
        <w:tc>
          <w:tcPr>
            <w:tcW w:w="651" w:type="dxa"/>
            <w:shd w:val="clear" w:color="auto" w:fill="B3E5A1" w:themeFill="accent6" w:themeFillTint="66"/>
          </w:tcPr>
          <w:p w14:paraId="5F92C858" w14:textId="77777777" w:rsidR="00EF4C5C" w:rsidRPr="007929B5" w:rsidRDefault="00EF4C5C" w:rsidP="00336727"/>
        </w:tc>
        <w:tc>
          <w:tcPr>
            <w:tcW w:w="651" w:type="dxa"/>
            <w:shd w:val="clear" w:color="auto" w:fill="B3E5A1" w:themeFill="accent6" w:themeFillTint="66"/>
          </w:tcPr>
          <w:p w14:paraId="1D1CC4C4" w14:textId="77777777" w:rsidR="00EF4C5C" w:rsidRPr="007929B5" w:rsidRDefault="00EF4C5C" w:rsidP="00336727"/>
        </w:tc>
        <w:tc>
          <w:tcPr>
            <w:tcW w:w="650" w:type="dxa"/>
            <w:shd w:val="clear" w:color="auto" w:fill="B3E5A1" w:themeFill="accent6" w:themeFillTint="66"/>
          </w:tcPr>
          <w:p w14:paraId="73B56326" w14:textId="77777777" w:rsidR="00EF4C5C" w:rsidRPr="007929B5" w:rsidRDefault="00EF4C5C" w:rsidP="00336727"/>
        </w:tc>
        <w:tc>
          <w:tcPr>
            <w:tcW w:w="651" w:type="dxa"/>
            <w:shd w:val="clear" w:color="auto" w:fill="B3E5A1" w:themeFill="accent6" w:themeFillTint="66"/>
          </w:tcPr>
          <w:p w14:paraId="10A9A1BE" w14:textId="77777777" w:rsidR="00EF4C5C" w:rsidRPr="007929B5" w:rsidRDefault="00EF4C5C" w:rsidP="00336727"/>
        </w:tc>
        <w:tc>
          <w:tcPr>
            <w:tcW w:w="650" w:type="dxa"/>
            <w:shd w:val="clear" w:color="auto" w:fill="B3E5A1" w:themeFill="accent6" w:themeFillTint="66"/>
          </w:tcPr>
          <w:p w14:paraId="56AEB018" w14:textId="77777777" w:rsidR="00EF4C5C" w:rsidRPr="007929B5" w:rsidRDefault="00EF4C5C" w:rsidP="00336727"/>
        </w:tc>
      </w:tr>
      <w:tr w:rsidR="006D2A70" w:rsidRPr="007929B5" w14:paraId="4464A2F8" w14:textId="77777777" w:rsidTr="00336727">
        <w:trPr>
          <w:jc w:val="center"/>
        </w:trPr>
        <w:tc>
          <w:tcPr>
            <w:tcW w:w="4794" w:type="dxa"/>
          </w:tcPr>
          <w:p w14:paraId="36CF88C1" w14:textId="77777777" w:rsidR="00EF4C5C" w:rsidRPr="007929B5" w:rsidRDefault="00EF4C5C" w:rsidP="00336727">
            <w:pPr>
              <w:rPr>
                <w:i/>
                <w:iCs/>
              </w:rPr>
            </w:pPr>
            <w:r w:rsidRPr="007929B5">
              <w:rPr>
                <w:i/>
                <w:iCs/>
              </w:rPr>
              <w:t xml:space="preserve">GŪ </w:t>
            </w:r>
            <w:proofErr w:type="spellStart"/>
            <w:r w:rsidRPr="007929B5">
              <w:rPr>
                <w:i/>
                <w:iCs/>
              </w:rPr>
              <w:t>hidroķīmisko</w:t>
            </w:r>
            <w:proofErr w:type="spellEnd"/>
            <w:r w:rsidRPr="007929B5">
              <w:rPr>
                <w:i/>
                <w:iCs/>
              </w:rPr>
              <w:t xml:space="preserve"> parametru mērījumi 20 gab.</w:t>
            </w:r>
          </w:p>
        </w:tc>
        <w:tc>
          <w:tcPr>
            <w:tcW w:w="652" w:type="dxa"/>
          </w:tcPr>
          <w:p w14:paraId="52BE1CF1" w14:textId="77777777" w:rsidR="00EF4C5C" w:rsidRPr="007929B5" w:rsidRDefault="00EF4C5C" w:rsidP="00336727"/>
        </w:tc>
        <w:tc>
          <w:tcPr>
            <w:tcW w:w="650" w:type="dxa"/>
            <w:shd w:val="clear" w:color="auto" w:fill="B3E5A1" w:themeFill="accent6" w:themeFillTint="66"/>
          </w:tcPr>
          <w:p w14:paraId="626938AB" w14:textId="77777777" w:rsidR="00EF4C5C" w:rsidRPr="007929B5" w:rsidRDefault="00EF4C5C" w:rsidP="00336727"/>
        </w:tc>
        <w:tc>
          <w:tcPr>
            <w:tcW w:w="651" w:type="dxa"/>
          </w:tcPr>
          <w:p w14:paraId="79AFE045" w14:textId="77777777" w:rsidR="00EF4C5C" w:rsidRPr="007929B5" w:rsidRDefault="00EF4C5C" w:rsidP="00336727"/>
        </w:tc>
        <w:tc>
          <w:tcPr>
            <w:tcW w:w="651" w:type="dxa"/>
            <w:shd w:val="clear" w:color="auto" w:fill="B3E5A1" w:themeFill="accent6" w:themeFillTint="66"/>
          </w:tcPr>
          <w:p w14:paraId="6B3BA356" w14:textId="77777777" w:rsidR="00EF4C5C" w:rsidRPr="007929B5" w:rsidRDefault="00EF4C5C" w:rsidP="00336727"/>
        </w:tc>
        <w:tc>
          <w:tcPr>
            <w:tcW w:w="650" w:type="dxa"/>
            <w:shd w:val="clear" w:color="auto" w:fill="B3E5A1" w:themeFill="accent6" w:themeFillTint="66"/>
          </w:tcPr>
          <w:p w14:paraId="69F60636" w14:textId="77777777" w:rsidR="00EF4C5C" w:rsidRPr="007929B5" w:rsidRDefault="00EF4C5C" w:rsidP="00336727"/>
        </w:tc>
        <w:tc>
          <w:tcPr>
            <w:tcW w:w="651" w:type="dxa"/>
            <w:shd w:val="clear" w:color="auto" w:fill="B3E5A1" w:themeFill="accent6" w:themeFillTint="66"/>
          </w:tcPr>
          <w:p w14:paraId="1E593C15" w14:textId="77777777" w:rsidR="00EF4C5C" w:rsidRPr="007929B5" w:rsidRDefault="00EF4C5C" w:rsidP="00336727"/>
        </w:tc>
        <w:tc>
          <w:tcPr>
            <w:tcW w:w="650" w:type="dxa"/>
            <w:shd w:val="clear" w:color="auto" w:fill="B3E5A1" w:themeFill="accent6" w:themeFillTint="66"/>
          </w:tcPr>
          <w:p w14:paraId="6062ABC6" w14:textId="77777777" w:rsidR="00EF4C5C" w:rsidRPr="007929B5" w:rsidRDefault="00EF4C5C" w:rsidP="00336727"/>
        </w:tc>
      </w:tr>
      <w:tr w:rsidR="006D2A70" w:rsidRPr="007929B5" w14:paraId="7DB39587" w14:textId="77777777" w:rsidTr="00336727">
        <w:trPr>
          <w:jc w:val="center"/>
        </w:trPr>
        <w:tc>
          <w:tcPr>
            <w:tcW w:w="4794" w:type="dxa"/>
          </w:tcPr>
          <w:p w14:paraId="63CCEE57" w14:textId="77777777" w:rsidR="00EF4C5C" w:rsidRPr="007929B5" w:rsidRDefault="00EF4C5C" w:rsidP="00336727">
            <w:pPr>
              <w:rPr>
                <w:i/>
                <w:iCs/>
              </w:rPr>
            </w:pPr>
            <w:r w:rsidRPr="007929B5">
              <w:rPr>
                <w:i/>
                <w:iCs/>
              </w:rPr>
              <w:t>GŪ paraugu noņemšana 20 gab.</w:t>
            </w:r>
          </w:p>
        </w:tc>
        <w:tc>
          <w:tcPr>
            <w:tcW w:w="652" w:type="dxa"/>
          </w:tcPr>
          <w:p w14:paraId="47E06F2C" w14:textId="77777777" w:rsidR="00EF4C5C" w:rsidRPr="007929B5" w:rsidRDefault="00EF4C5C" w:rsidP="00336727"/>
        </w:tc>
        <w:tc>
          <w:tcPr>
            <w:tcW w:w="650" w:type="dxa"/>
            <w:shd w:val="clear" w:color="auto" w:fill="B3E5A1" w:themeFill="accent6" w:themeFillTint="66"/>
          </w:tcPr>
          <w:p w14:paraId="0815D696" w14:textId="77777777" w:rsidR="00EF4C5C" w:rsidRPr="007929B5" w:rsidRDefault="00EF4C5C" w:rsidP="00336727"/>
        </w:tc>
        <w:tc>
          <w:tcPr>
            <w:tcW w:w="651" w:type="dxa"/>
          </w:tcPr>
          <w:p w14:paraId="48D5E5AC" w14:textId="77777777" w:rsidR="00EF4C5C" w:rsidRPr="007929B5" w:rsidRDefault="00EF4C5C" w:rsidP="00336727"/>
        </w:tc>
        <w:tc>
          <w:tcPr>
            <w:tcW w:w="651" w:type="dxa"/>
            <w:shd w:val="clear" w:color="auto" w:fill="B3E5A1" w:themeFill="accent6" w:themeFillTint="66"/>
          </w:tcPr>
          <w:p w14:paraId="50D8E5A1" w14:textId="77777777" w:rsidR="00EF4C5C" w:rsidRPr="007929B5" w:rsidRDefault="00EF4C5C" w:rsidP="00336727"/>
        </w:tc>
        <w:tc>
          <w:tcPr>
            <w:tcW w:w="650" w:type="dxa"/>
            <w:shd w:val="clear" w:color="auto" w:fill="B3E5A1" w:themeFill="accent6" w:themeFillTint="66"/>
          </w:tcPr>
          <w:p w14:paraId="2BEE2BC7" w14:textId="77777777" w:rsidR="00EF4C5C" w:rsidRPr="007929B5" w:rsidRDefault="00EF4C5C" w:rsidP="00336727"/>
        </w:tc>
        <w:tc>
          <w:tcPr>
            <w:tcW w:w="651" w:type="dxa"/>
            <w:shd w:val="clear" w:color="auto" w:fill="B3E5A1" w:themeFill="accent6" w:themeFillTint="66"/>
          </w:tcPr>
          <w:p w14:paraId="6B124669" w14:textId="77777777" w:rsidR="00EF4C5C" w:rsidRPr="007929B5" w:rsidRDefault="00EF4C5C" w:rsidP="00336727"/>
        </w:tc>
        <w:tc>
          <w:tcPr>
            <w:tcW w:w="650" w:type="dxa"/>
            <w:shd w:val="clear" w:color="auto" w:fill="B3E5A1" w:themeFill="accent6" w:themeFillTint="66"/>
          </w:tcPr>
          <w:p w14:paraId="3724112C" w14:textId="77777777" w:rsidR="00EF4C5C" w:rsidRPr="007929B5" w:rsidRDefault="00EF4C5C" w:rsidP="00336727"/>
        </w:tc>
      </w:tr>
      <w:tr w:rsidR="006D2A70" w:rsidRPr="007929B5" w14:paraId="5431189F" w14:textId="77777777" w:rsidTr="00336727">
        <w:trPr>
          <w:jc w:val="center"/>
        </w:trPr>
        <w:tc>
          <w:tcPr>
            <w:tcW w:w="4794" w:type="dxa"/>
          </w:tcPr>
          <w:p w14:paraId="6D7C665C" w14:textId="77777777" w:rsidR="00EF4C5C" w:rsidRPr="007929B5" w:rsidRDefault="00EF4C5C" w:rsidP="00336727">
            <w:pPr>
              <w:rPr>
                <w:i/>
                <w:iCs/>
              </w:rPr>
            </w:pPr>
            <w:r w:rsidRPr="007929B5">
              <w:rPr>
                <w:i/>
                <w:iCs/>
              </w:rPr>
              <w:t>Paraugu testēšana laboratorijā 20 gab.</w:t>
            </w:r>
          </w:p>
        </w:tc>
        <w:tc>
          <w:tcPr>
            <w:tcW w:w="652" w:type="dxa"/>
          </w:tcPr>
          <w:p w14:paraId="586FBD40" w14:textId="77777777" w:rsidR="00EF4C5C" w:rsidRPr="007929B5" w:rsidRDefault="00EF4C5C" w:rsidP="00336727"/>
        </w:tc>
        <w:tc>
          <w:tcPr>
            <w:tcW w:w="650" w:type="dxa"/>
            <w:shd w:val="clear" w:color="auto" w:fill="B3E5A1" w:themeFill="accent6" w:themeFillTint="66"/>
          </w:tcPr>
          <w:p w14:paraId="51BC1465" w14:textId="77777777" w:rsidR="00EF4C5C" w:rsidRPr="007929B5" w:rsidRDefault="00EF4C5C" w:rsidP="00336727"/>
        </w:tc>
        <w:tc>
          <w:tcPr>
            <w:tcW w:w="651" w:type="dxa"/>
          </w:tcPr>
          <w:p w14:paraId="37673FDB" w14:textId="77777777" w:rsidR="00EF4C5C" w:rsidRPr="007929B5" w:rsidRDefault="00EF4C5C" w:rsidP="00336727"/>
        </w:tc>
        <w:tc>
          <w:tcPr>
            <w:tcW w:w="651" w:type="dxa"/>
            <w:shd w:val="clear" w:color="auto" w:fill="B3E5A1" w:themeFill="accent6" w:themeFillTint="66"/>
          </w:tcPr>
          <w:p w14:paraId="0F09943F" w14:textId="77777777" w:rsidR="00EF4C5C" w:rsidRPr="007929B5" w:rsidRDefault="00EF4C5C" w:rsidP="00336727"/>
        </w:tc>
        <w:tc>
          <w:tcPr>
            <w:tcW w:w="650" w:type="dxa"/>
            <w:shd w:val="clear" w:color="auto" w:fill="B3E5A1" w:themeFill="accent6" w:themeFillTint="66"/>
          </w:tcPr>
          <w:p w14:paraId="7D88E6A3" w14:textId="77777777" w:rsidR="00EF4C5C" w:rsidRPr="007929B5" w:rsidRDefault="00EF4C5C" w:rsidP="00336727"/>
        </w:tc>
        <w:tc>
          <w:tcPr>
            <w:tcW w:w="651" w:type="dxa"/>
            <w:shd w:val="clear" w:color="auto" w:fill="B3E5A1" w:themeFill="accent6" w:themeFillTint="66"/>
          </w:tcPr>
          <w:p w14:paraId="0804EC6F" w14:textId="77777777" w:rsidR="00EF4C5C" w:rsidRPr="007929B5" w:rsidRDefault="00EF4C5C" w:rsidP="00336727"/>
        </w:tc>
        <w:tc>
          <w:tcPr>
            <w:tcW w:w="650" w:type="dxa"/>
            <w:shd w:val="clear" w:color="auto" w:fill="B3E5A1" w:themeFill="accent6" w:themeFillTint="66"/>
          </w:tcPr>
          <w:p w14:paraId="3FEF237C" w14:textId="77777777" w:rsidR="00EF4C5C" w:rsidRPr="007929B5" w:rsidRDefault="00EF4C5C" w:rsidP="00336727"/>
        </w:tc>
      </w:tr>
      <w:tr w:rsidR="006D2A70" w:rsidRPr="007929B5" w14:paraId="50E6EB1B" w14:textId="77777777" w:rsidTr="00336727">
        <w:trPr>
          <w:jc w:val="center"/>
        </w:trPr>
        <w:tc>
          <w:tcPr>
            <w:tcW w:w="4794" w:type="dxa"/>
          </w:tcPr>
          <w:p w14:paraId="7A8A7E06" w14:textId="77777777" w:rsidR="00EF4C5C" w:rsidRPr="007929B5" w:rsidRDefault="00EF4C5C" w:rsidP="00336727">
            <w:pPr>
              <w:rPr>
                <w:i/>
                <w:iCs/>
              </w:rPr>
            </w:pPr>
            <w:r w:rsidRPr="007929B5">
              <w:rPr>
                <w:i/>
                <w:iCs/>
              </w:rPr>
              <w:t>Pārskata sagatavošana 1 gab.</w:t>
            </w:r>
          </w:p>
        </w:tc>
        <w:tc>
          <w:tcPr>
            <w:tcW w:w="652" w:type="dxa"/>
            <w:shd w:val="clear" w:color="auto" w:fill="B3E5A1" w:themeFill="accent6" w:themeFillTint="66"/>
          </w:tcPr>
          <w:p w14:paraId="2E11AC75" w14:textId="77777777" w:rsidR="00EF4C5C" w:rsidRPr="007929B5" w:rsidRDefault="00EF4C5C" w:rsidP="00336727"/>
        </w:tc>
        <w:tc>
          <w:tcPr>
            <w:tcW w:w="650" w:type="dxa"/>
            <w:shd w:val="clear" w:color="auto" w:fill="B3E5A1" w:themeFill="accent6" w:themeFillTint="66"/>
          </w:tcPr>
          <w:p w14:paraId="7711DD24" w14:textId="77777777" w:rsidR="00EF4C5C" w:rsidRPr="007929B5" w:rsidRDefault="00EF4C5C" w:rsidP="00336727"/>
        </w:tc>
        <w:tc>
          <w:tcPr>
            <w:tcW w:w="651" w:type="dxa"/>
            <w:shd w:val="clear" w:color="auto" w:fill="B3E5A1" w:themeFill="accent6" w:themeFillTint="66"/>
          </w:tcPr>
          <w:p w14:paraId="035DA9B7" w14:textId="77777777" w:rsidR="00EF4C5C" w:rsidRPr="007929B5" w:rsidRDefault="00EF4C5C" w:rsidP="00336727"/>
        </w:tc>
        <w:tc>
          <w:tcPr>
            <w:tcW w:w="651" w:type="dxa"/>
            <w:shd w:val="clear" w:color="auto" w:fill="B3E5A1" w:themeFill="accent6" w:themeFillTint="66"/>
          </w:tcPr>
          <w:p w14:paraId="3B4479DE" w14:textId="77777777" w:rsidR="00EF4C5C" w:rsidRPr="007929B5" w:rsidRDefault="00EF4C5C" w:rsidP="00336727"/>
        </w:tc>
        <w:tc>
          <w:tcPr>
            <w:tcW w:w="650" w:type="dxa"/>
            <w:shd w:val="clear" w:color="auto" w:fill="B3E5A1" w:themeFill="accent6" w:themeFillTint="66"/>
          </w:tcPr>
          <w:p w14:paraId="4D040FD1" w14:textId="77777777" w:rsidR="00EF4C5C" w:rsidRPr="007929B5" w:rsidRDefault="00EF4C5C" w:rsidP="00336727"/>
        </w:tc>
        <w:tc>
          <w:tcPr>
            <w:tcW w:w="651" w:type="dxa"/>
            <w:shd w:val="clear" w:color="auto" w:fill="B3E5A1" w:themeFill="accent6" w:themeFillTint="66"/>
          </w:tcPr>
          <w:p w14:paraId="2FDF9A6C" w14:textId="77777777" w:rsidR="00EF4C5C" w:rsidRPr="007929B5" w:rsidRDefault="00EF4C5C" w:rsidP="00336727"/>
        </w:tc>
        <w:tc>
          <w:tcPr>
            <w:tcW w:w="650" w:type="dxa"/>
            <w:shd w:val="clear" w:color="auto" w:fill="B3E5A1" w:themeFill="accent6" w:themeFillTint="66"/>
          </w:tcPr>
          <w:p w14:paraId="3033DE61" w14:textId="77777777" w:rsidR="00EF4C5C" w:rsidRPr="007929B5" w:rsidRDefault="00EF4C5C" w:rsidP="00336727"/>
        </w:tc>
      </w:tr>
      <w:tr w:rsidR="006D2A70" w:rsidRPr="007929B5" w14:paraId="7BBE2546" w14:textId="77777777" w:rsidTr="00336727">
        <w:trPr>
          <w:jc w:val="center"/>
        </w:trPr>
        <w:tc>
          <w:tcPr>
            <w:tcW w:w="4794" w:type="dxa"/>
          </w:tcPr>
          <w:p w14:paraId="45D649AB" w14:textId="77777777" w:rsidR="00EF4C5C" w:rsidRPr="007929B5" w:rsidRDefault="00EF4C5C" w:rsidP="00336727">
            <w:pPr>
              <w:rPr>
                <w:i/>
                <w:iCs/>
              </w:rPr>
            </w:pPr>
            <w:r w:rsidRPr="007929B5">
              <w:rPr>
                <w:i/>
                <w:iCs/>
              </w:rPr>
              <w:t>Pārskata iesniegšana Pasūtītājam un VVD 1 gab.</w:t>
            </w:r>
          </w:p>
        </w:tc>
        <w:tc>
          <w:tcPr>
            <w:tcW w:w="652" w:type="dxa"/>
            <w:shd w:val="clear" w:color="auto" w:fill="B3E5A1" w:themeFill="accent6" w:themeFillTint="66"/>
          </w:tcPr>
          <w:p w14:paraId="48D4FD50" w14:textId="77777777" w:rsidR="00EF4C5C" w:rsidRPr="007929B5" w:rsidRDefault="00EF4C5C" w:rsidP="00336727"/>
        </w:tc>
        <w:tc>
          <w:tcPr>
            <w:tcW w:w="650" w:type="dxa"/>
            <w:shd w:val="clear" w:color="auto" w:fill="B3E5A1" w:themeFill="accent6" w:themeFillTint="66"/>
          </w:tcPr>
          <w:p w14:paraId="2E06B7E3" w14:textId="77777777" w:rsidR="00EF4C5C" w:rsidRPr="007929B5" w:rsidRDefault="00EF4C5C" w:rsidP="00336727"/>
        </w:tc>
        <w:tc>
          <w:tcPr>
            <w:tcW w:w="651" w:type="dxa"/>
            <w:shd w:val="clear" w:color="auto" w:fill="B3E5A1" w:themeFill="accent6" w:themeFillTint="66"/>
          </w:tcPr>
          <w:p w14:paraId="52C9406D" w14:textId="77777777" w:rsidR="00EF4C5C" w:rsidRPr="007929B5" w:rsidRDefault="00EF4C5C" w:rsidP="00336727"/>
        </w:tc>
        <w:tc>
          <w:tcPr>
            <w:tcW w:w="651" w:type="dxa"/>
            <w:shd w:val="clear" w:color="auto" w:fill="B3E5A1" w:themeFill="accent6" w:themeFillTint="66"/>
          </w:tcPr>
          <w:p w14:paraId="0DB981F3" w14:textId="77777777" w:rsidR="00EF4C5C" w:rsidRPr="007929B5" w:rsidRDefault="00EF4C5C" w:rsidP="00336727"/>
        </w:tc>
        <w:tc>
          <w:tcPr>
            <w:tcW w:w="650" w:type="dxa"/>
            <w:shd w:val="clear" w:color="auto" w:fill="B3E5A1" w:themeFill="accent6" w:themeFillTint="66"/>
          </w:tcPr>
          <w:p w14:paraId="20BAED6B" w14:textId="77777777" w:rsidR="00EF4C5C" w:rsidRPr="007929B5" w:rsidRDefault="00EF4C5C" w:rsidP="00336727"/>
        </w:tc>
        <w:tc>
          <w:tcPr>
            <w:tcW w:w="651" w:type="dxa"/>
            <w:shd w:val="clear" w:color="auto" w:fill="B3E5A1" w:themeFill="accent6" w:themeFillTint="66"/>
          </w:tcPr>
          <w:p w14:paraId="3E32E6CE" w14:textId="77777777" w:rsidR="00EF4C5C" w:rsidRPr="007929B5" w:rsidRDefault="00EF4C5C" w:rsidP="00336727"/>
        </w:tc>
        <w:tc>
          <w:tcPr>
            <w:tcW w:w="650" w:type="dxa"/>
            <w:shd w:val="clear" w:color="auto" w:fill="B3E5A1" w:themeFill="accent6" w:themeFillTint="66"/>
          </w:tcPr>
          <w:p w14:paraId="41CD4ADF" w14:textId="77777777" w:rsidR="00EF4C5C" w:rsidRPr="007929B5" w:rsidRDefault="00EF4C5C" w:rsidP="00336727"/>
        </w:tc>
      </w:tr>
    </w:tbl>
    <w:p w14:paraId="48A8ED95" w14:textId="77777777" w:rsidR="00EF4C5C" w:rsidRPr="007929B5" w:rsidRDefault="00EF4C5C" w:rsidP="00EF4C5C">
      <w:pPr>
        <w:rPr>
          <w:rFonts w:ascii="Times New Roman" w:hAnsi="Times New Roman"/>
        </w:rPr>
      </w:pPr>
    </w:p>
    <w:p w14:paraId="13AF5069" w14:textId="28895A39" w:rsidR="00EF4C5C" w:rsidRPr="007929B5" w:rsidRDefault="00EF4C5C" w:rsidP="00EF4C5C">
      <w:pPr>
        <w:jc w:val="both"/>
        <w:rPr>
          <w:rFonts w:ascii="Times New Roman" w:hAnsi="Times New Roman"/>
        </w:rPr>
      </w:pPr>
      <w:r w:rsidRPr="007929B5">
        <w:rPr>
          <w:rFonts w:ascii="Times New Roman" w:hAnsi="Times New Roman"/>
        </w:rPr>
        <w:t xml:space="preserve">Pēc šī monitoringa cikla, jeb pēc pēdējās </w:t>
      </w:r>
      <w:proofErr w:type="spellStart"/>
      <w:r w:rsidRPr="007929B5">
        <w:rPr>
          <w:rFonts w:ascii="Times New Roman" w:hAnsi="Times New Roman"/>
        </w:rPr>
        <w:t>paraugošanas</w:t>
      </w:r>
      <w:proofErr w:type="spellEnd"/>
      <w:r w:rsidRPr="007929B5">
        <w:rPr>
          <w:rFonts w:ascii="Times New Roman" w:hAnsi="Times New Roman"/>
        </w:rPr>
        <w:t xml:space="preserve"> reizes monitoringa veicējs izvērtē monitoringa nepieciešamību turpmākajam periodam, kā arī nepieciešamības gadījumā snie</w:t>
      </w:r>
      <w:r w:rsidR="003D343E" w:rsidRPr="007929B5">
        <w:rPr>
          <w:rFonts w:ascii="Times New Roman" w:hAnsi="Times New Roman"/>
        </w:rPr>
        <w:t>dz</w:t>
      </w:r>
      <w:r w:rsidRPr="007929B5">
        <w:rPr>
          <w:rFonts w:ascii="Times New Roman" w:hAnsi="Times New Roman"/>
        </w:rPr>
        <w:t xml:space="preserve"> rekomendācijas novērojumu biežumam un ilgumam. Lēmumu par turpmāku monitoringa pasākumu nepieciešamību, biežumu un ilgumu, pēc šī monitoringa perioda beigām, pieņems VVD, ņemot vērā rekomendācijas.  </w:t>
      </w:r>
    </w:p>
    <w:p w14:paraId="47AC9978" w14:textId="77777777" w:rsidR="00EF4C5C" w:rsidRPr="007929B5" w:rsidRDefault="00EF4C5C" w:rsidP="00EF4C5C">
      <w:pPr>
        <w:jc w:val="both"/>
        <w:rPr>
          <w:rFonts w:ascii="Times New Roman" w:hAnsi="Times New Roman"/>
        </w:rPr>
      </w:pPr>
    </w:p>
    <w:p w14:paraId="43887BD1" w14:textId="4DEE8587" w:rsidR="00EF4C5C" w:rsidRPr="007929B5" w:rsidRDefault="00EF4C5C" w:rsidP="00116840">
      <w:pPr>
        <w:jc w:val="both"/>
        <w:rPr>
          <w:rFonts w:ascii="Times New Roman" w:hAnsi="Times New Roman"/>
          <w:b/>
          <w:bCs/>
        </w:rPr>
      </w:pPr>
      <w:bookmarkStart w:id="6" w:name="_Toc158735773"/>
      <w:r w:rsidRPr="007929B5">
        <w:rPr>
          <w:rFonts w:ascii="Times New Roman" w:hAnsi="Times New Roman"/>
          <w:b/>
          <w:bCs/>
        </w:rPr>
        <w:t>Monitoringa ietvaros veicamie mērījumi un laboratorijas analīzes</w:t>
      </w:r>
      <w:bookmarkEnd w:id="6"/>
    </w:p>
    <w:p w14:paraId="6602D7FE" w14:textId="75F0A0ED" w:rsidR="00EF4C5C" w:rsidRPr="007929B5" w:rsidRDefault="00EF4C5C" w:rsidP="00EF4C5C">
      <w:pPr>
        <w:jc w:val="both"/>
        <w:rPr>
          <w:rFonts w:ascii="Times New Roman" w:hAnsi="Times New Roman"/>
        </w:rPr>
      </w:pPr>
      <w:r w:rsidRPr="007929B5">
        <w:rPr>
          <w:rFonts w:ascii="Times New Roman" w:hAnsi="Times New Roman"/>
        </w:rPr>
        <w:t>Katra monitoringa cikla ietvaros, pirms mērījumu un/vai paraugu noņemšanas, monitoringa veicējs vei</w:t>
      </w:r>
      <w:r w:rsidR="004E01B9" w:rsidRPr="007929B5">
        <w:rPr>
          <w:rFonts w:ascii="Times New Roman" w:hAnsi="Times New Roman"/>
        </w:rPr>
        <w:t>c</w:t>
      </w:r>
      <w:r w:rsidRPr="007929B5">
        <w:rPr>
          <w:rFonts w:ascii="Times New Roman" w:hAnsi="Times New Roman"/>
        </w:rPr>
        <w:t xml:space="preserve"> aku tehniskā stāvokļa novērtējumu, un, ja nepieciešams</w:t>
      </w:r>
      <w:r w:rsidRPr="00DF6F9E">
        <w:rPr>
          <w:rFonts w:ascii="Times New Roman" w:hAnsi="Times New Roman"/>
        </w:rPr>
        <w:t xml:space="preserve">, </w:t>
      </w:r>
      <w:r w:rsidR="00CC5999" w:rsidRPr="00DF6F9E">
        <w:rPr>
          <w:rFonts w:ascii="Times New Roman" w:hAnsi="Times New Roman"/>
        </w:rPr>
        <w:t>sniedz rekomendācijas bojājumu novēršanai</w:t>
      </w:r>
      <w:r w:rsidRPr="00DF6F9E">
        <w:rPr>
          <w:rFonts w:ascii="Times New Roman" w:hAnsi="Times New Roman"/>
        </w:rPr>
        <w:t>. Tāpat, darbus uzsākot, ti</w:t>
      </w:r>
      <w:r w:rsidR="004E01B9" w:rsidRPr="00DF6F9E">
        <w:rPr>
          <w:rFonts w:ascii="Times New Roman" w:hAnsi="Times New Roman"/>
        </w:rPr>
        <w:t>ek</w:t>
      </w:r>
      <w:r w:rsidRPr="00DF6F9E">
        <w:rPr>
          <w:rFonts w:ascii="Times New Roman" w:hAnsi="Times New Roman"/>
        </w:rPr>
        <w:t xml:space="preserve"> novērtēta </w:t>
      </w:r>
      <w:proofErr w:type="spellStart"/>
      <w:r w:rsidRPr="00DF6F9E">
        <w:rPr>
          <w:rFonts w:ascii="Times New Roman" w:hAnsi="Times New Roman"/>
        </w:rPr>
        <w:t>monitorēja</w:t>
      </w:r>
      <w:r w:rsidRPr="007929B5">
        <w:rPr>
          <w:rFonts w:ascii="Times New Roman" w:hAnsi="Times New Roman"/>
        </w:rPr>
        <w:t>mā</w:t>
      </w:r>
      <w:proofErr w:type="spellEnd"/>
      <w:r w:rsidRPr="007929B5">
        <w:rPr>
          <w:rFonts w:ascii="Times New Roman" w:hAnsi="Times New Roman"/>
        </w:rPr>
        <w:t xml:space="preserve"> teritorija un tās apkārtne, īpašu uzmanību pievēršot jebkādām vizuālām piesārņojuma pazīmēm. Pirms paraugu noņemšanas ti</w:t>
      </w:r>
      <w:r w:rsidR="004E01B9" w:rsidRPr="007929B5">
        <w:rPr>
          <w:rFonts w:ascii="Times New Roman" w:hAnsi="Times New Roman"/>
        </w:rPr>
        <w:t>ek</w:t>
      </w:r>
      <w:r w:rsidRPr="007929B5">
        <w:rPr>
          <w:rFonts w:ascii="Times New Roman" w:hAnsi="Times New Roman"/>
        </w:rPr>
        <w:t xml:space="preserve"> veikti NP peldošā slāņa un gruntsūdens līmeņu mērījumi ar speciālu aparatūru – nesajaucošos šķidrumu saskares virsmas detektoru.</w:t>
      </w:r>
    </w:p>
    <w:p w14:paraId="162507AA" w14:textId="77777777" w:rsidR="00EF4C5C" w:rsidRPr="007929B5" w:rsidRDefault="00EF4C5C" w:rsidP="00EF4C5C">
      <w:pPr>
        <w:jc w:val="both"/>
        <w:rPr>
          <w:rFonts w:ascii="Times New Roman" w:hAnsi="Times New Roman"/>
        </w:rPr>
      </w:pPr>
    </w:p>
    <w:p w14:paraId="25A3B6D0" w14:textId="2E1E158C" w:rsidR="00EF4C5C" w:rsidRPr="007929B5" w:rsidRDefault="00EF4C5C" w:rsidP="00EF4C5C">
      <w:pPr>
        <w:jc w:val="both"/>
        <w:rPr>
          <w:rFonts w:ascii="Times New Roman" w:hAnsi="Times New Roman"/>
        </w:rPr>
      </w:pPr>
      <w:r w:rsidRPr="007929B5">
        <w:rPr>
          <w:rFonts w:ascii="Times New Roman" w:hAnsi="Times New Roman"/>
        </w:rPr>
        <w:t xml:space="preserve">Gruntsūdens paraugu noņemšanai jāizmanto speciālu </w:t>
      </w:r>
      <w:proofErr w:type="spellStart"/>
      <w:r w:rsidRPr="007929B5">
        <w:rPr>
          <w:rFonts w:ascii="Times New Roman" w:hAnsi="Times New Roman"/>
        </w:rPr>
        <w:t>paraugošanas</w:t>
      </w:r>
      <w:proofErr w:type="spellEnd"/>
      <w:r w:rsidRPr="007929B5">
        <w:rPr>
          <w:rFonts w:ascii="Times New Roman" w:hAnsi="Times New Roman"/>
        </w:rPr>
        <w:t xml:space="preserve"> sūkni ar tīriem cauruļvadiem. Pirms gruntsūdens paraugu noņemšanas akas jāatsūknē līdz ūdens </w:t>
      </w:r>
      <w:proofErr w:type="spellStart"/>
      <w:r w:rsidRPr="007929B5">
        <w:rPr>
          <w:rFonts w:ascii="Times New Roman" w:hAnsi="Times New Roman"/>
        </w:rPr>
        <w:t>hidroķīmisko</w:t>
      </w:r>
      <w:proofErr w:type="spellEnd"/>
      <w:r w:rsidRPr="007929B5">
        <w:rPr>
          <w:rFonts w:ascii="Times New Roman" w:hAnsi="Times New Roman"/>
        </w:rPr>
        <w:t xml:space="preserve"> rādītāju - </w:t>
      </w:r>
      <w:proofErr w:type="spellStart"/>
      <w:r w:rsidRPr="007929B5">
        <w:rPr>
          <w:rFonts w:ascii="Times New Roman" w:hAnsi="Times New Roman"/>
        </w:rPr>
        <w:t>pH</w:t>
      </w:r>
      <w:proofErr w:type="spellEnd"/>
      <w:r w:rsidRPr="007929B5">
        <w:rPr>
          <w:rFonts w:ascii="Times New Roman" w:hAnsi="Times New Roman"/>
        </w:rPr>
        <w:t xml:space="preserve">, elektrovadītspējas un temperatūras stabilizācijai. Ūdens fizikāli – ķīmiskos parametrus aku atsūknēšanas gaitā kontrolēs, izmantojot specializētu aparatūru. Pēc </w:t>
      </w:r>
      <w:proofErr w:type="spellStart"/>
      <w:r w:rsidRPr="007929B5">
        <w:rPr>
          <w:rFonts w:ascii="Times New Roman" w:hAnsi="Times New Roman"/>
        </w:rPr>
        <w:t>hidroķīmiskās</w:t>
      </w:r>
      <w:proofErr w:type="spellEnd"/>
      <w:r w:rsidRPr="007929B5">
        <w:rPr>
          <w:rFonts w:ascii="Times New Roman" w:hAnsi="Times New Roman"/>
        </w:rPr>
        <w:t xml:space="preserve"> situācijas stabilizēšanās no akām, ti</w:t>
      </w:r>
      <w:r w:rsidR="004E01B9" w:rsidRPr="007929B5">
        <w:rPr>
          <w:rFonts w:ascii="Times New Roman" w:hAnsi="Times New Roman"/>
        </w:rPr>
        <w:t>ek</w:t>
      </w:r>
      <w:r w:rsidRPr="007929B5">
        <w:rPr>
          <w:rFonts w:ascii="Times New Roman" w:hAnsi="Times New Roman"/>
        </w:rPr>
        <w:t xml:space="preserve"> noņemti gruntsūdens paraugi.</w:t>
      </w:r>
    </w:p>
    <w:p w14:paraId="14A909EE" w14:textId="77777777" w:rsidR="00EF4C5C" w:rsidRPr="007929B5" w:rsidRDefault="00EF4C5C" w:rsidP="00EF4C5C">
      <w:pPr>
        <w:jc w:val="both"/>
        <w:rPr>
          <w:rFonts w:ascii="Times New Roman" w:hAnsi="Times New Roman"/>
        </w:rPr>
      </w:pPr>
    </w:p>
    <w:p w14:paraId="33EEA410" w14:textId="4836BEDC" w:rsidR="00EF4C5C" w:rsidRPr="007929B5" w:rsidRDefault="00EF4C5C" w:rsidP="00EF4C5C">
      <w:pPr>
        <w:jc w:val="both"/>
        <w:rPr>
          <w:rFonts w:ascii="Times New Roman" w:hAnsi="Times New Roman"/>
        </w:rPr>
      </w:pPr>
      <w:r w:rsidRPr="007929B5">
        <w:rPr>
          <w:rFonts w:ascii="Times New Roman" w:hAnsi="Times New Roman"/>
        </w:rPr>
        <w:t>Gruntsūdens paraugos, akreditētā laboratorijā ti</w:t>
      </w:r>
      <w:r w:rsidR="004E01B9" w:rsidRPr="007929B5">
        <w:rPr>
          <w:rFonts w:ascii="Times New Roman" w:hAnsi="Times New Roman"/>
        </w:rPr>
        <w:t>ek</w:t>
      </w:r>
      <w:r w:rsidRPr="007929B5">
        <w:rPr>
          <w:rFonts w:ascii="Times New Roman" w:hAnsi="Times New Roman"/>
        </w:rPr>
        <w:t xml:space="preserve"> veiktas analīzes NP indeksa un BTEX daudzuma noteikšanai.</w:t>
      </w:r>
    </w:p>
    <w:p w14:paraId="6518C0EB" w14:textId="77777777" w:rsidR="00EF4C5C" w:rsidRPr="007929B5" w:rsidRDefault="00EF4C5C" w:rsidP="00EF4C5C">
      <w:pPr>
        <w:jc w:val="both"/>
        <w:rPr>
          <w:rFonts w:ascii="Times New Roman" w:hAnsi="Times New Roman"/>
        </w:rPr>
      </w:pPr>
    </w:p>
    <w:p w14:paraId="01ADDFAD" w14:textId="38B6A8F6" w:rsidR="00EF4C5C" w:rsidRPr="007929B5" w:rsidRDefault="00EF4C5C" w:rsidP="00EF4C5C">
      <w:pPr>
        <w:jc w:val="both"/>
        <w:rPr>
          <w:rFonts w:ascii="Times New Roman" w:hAnsi="Times New Roman"/>
        </w:rPr>
      </w:pPr>
      <w:r w:rsidRPr="007929B5">
        <w:rPr>
          <w:rFonts w:ascii="Times New Roman" w:hAnsi="Times New Roman"/>
        </w:rPr>
        <w:t>Gadījumā, ja monitoringa akā ti</w:t>
      </w:r>
      <w:r w:rsidR="004E01B9" w:rsidRPr="007929B5">
        <w:rPr>
          <w:rFonts w:ascii="Times New Roman" w:hAnsi="Times New Roman"/>
        </w:rPr>
        <w:t>ek</w:t>
      </w:r>
      <w:r w:rsidRPr="007929B5">
        <w:rPr>
          <w:rFonts w:ascii="Times New Roman" w:hAnsi="Times New Roman"/>
        </w:rPr>
        <w:t xml:space="preserve"> konstatēta brīvo NP klātbūtne (līdz 0.01 m), paraugs no šīs akas nav jāņem, jo šādā gadījumā tiek pieņemts, ka gruntsūdens šajā akā ir piesārņots un nav iespējams metodiski pareizi noņemt reprezentatīvu paraugu. Šādā gadījumā jāveic akas attīrīšana/atsūknēšana</w:t>
      </w:r>
      <w:r w:rsidR="00814058" w:rsidRPr="007929B5">
        <w:rPr>
          <w:rFonts w:ascii="Times New Roman" w:hAnsi="Times New Roman"/>
        </w:rPr>
        <w:t xml:space="preserve"> (veic Pasūtītājs)</w:t>
      </w:r>
      <w:r w:rsidRPr="007929B5">
        <w:rPr>
          <w:rFonts w:ascii="Times New Roman" w:hAnsi="Times New Roman"/>
        </w:rPr>
        <w:t xml:space="preserve">, lai veicot mērījumus nākamajā monitoringa ciklā varētu fiksēt faktisko situāciju. </w:t>
      </w:r>
    </w:p>
    <w:p w14:paraId="066A9D55" w14:textId="77777777" w:rsidR="00EF4C5C" w:rsidRDefault="00EF4C5C" w:rsidP="00EF4C5C">
      <w:pPr>
        <w:rPr>
          <w:rFonts w:ascii="Times New Roman" w:hAnsi="Times New Roman"/>
        </w:rPr>
      </w:pPr>
    </w:p>
    <w:p w14:paraId="4BDFF7DD" w14:textId="77777777" w:rsidR="00DF6F9E" w:rsidRDefault="00DF6F9E" w:rsidP="00EF4C5C">
      <w:pPr>
        <w:rPr>
          <w:rFonts w:ascii="Times New Roman" w:hAnsi="Times New Roman"/>
        </w:rPr>
      </w:pPr>
    </w:p>
    <w:p w14:paraId="05102A0C" w14:textId="77777777" w:rsidR="00DF6F9E" w:rsidRDefault="00DF6F9E" w:rsidP="00EF4C5C">
      <w:pPr>
        <w:rPr>
          <w:rFonts w:ascii="Times New Roman" w:hAnsi="Times New Roman"/>
        </w:rPr>
      </w:pPr>
    </w:p>
    <w:p w14:paraId="56095463" w14:textId="77777777" w:rsidR="00DF6F9E" w:rsidRDefault="00DF6F9E" w:rsidP="00EF4C5C">
      <w:pPr>
        <w:rPr>
          <w:rFonts w:ascii="Times New Roman" w:hAnsi="Times New Roman"/>
        </w:rPr>
      </w:pPr>
    </w:p>
    <w:p w14:paraId="2C8857A3" w14:textId="77777777" w:rsidR="00DF6F9E" w:rsidRDefault="00DF6F9E" w:rsidP="00EF4C5C">
      <w:pPr>
        <w:rPr>
          <w:rFonts w:ascii="Times New Roman" w:hAnsi="Times New Roman"/>
        </w:rPr>
      </w:pPr>
    </w:p>
    <w:p w14:paraId="08F7DE6D" w14:textId="77777777" w:rsidR="00DF6F9E" w:rsidRPr="007929B5" w:rsidRDefault="00DF6F9E" w:rsidP="00EF4C5C">
      <w:pPr>
        <w:rPr>
          <w:rFonts w:ascii="Times New Roman" w:hAnsi="Times New Roman"/>
        </w:rPr>
      </w:pPr>
    </w:p>
    <w:p w14:paraId="4322832C" w14:textId="77777777" w:rsidR="00EF4C5C" w:rsidRPr="007929B5" w:rsidRDefault="00EF4C5C" w:rsidP="00EF4C5C">
      <w:pPr>
        <w:pStyle w:val="Tabulasnosaukums"/>
        <w:numPr>
          <w:ilvl w:val="0"/>
          <w:numId w:val="4"/>
        </w:numPr>
        <w:jc w:val="right"/>
        <w:rPr>
          <w:rFonts w:ascii="Times New Roman" w:hAnsi="Times New Roman"/>
        </w:rPr>
      </w:pPr>
      <w:r w:rsidRPr="007929B5">
        <w:rPr>
          <w:rFonts w:ascii="Times New Roman" w:hAnsi="Times New Roman"/>
        </w:rPr>
        <w:lastRenderedPageBreak/>
        <w:t>TABULA</w:t>
      </w:r>
    </w:p>
    <w:p w14:paraId="1E0F0FC9" w14:textId="77777777" w:rsidR="00EF4C5C" w:rsidRPr="007929B5" w:rsidRDefault="00EF4C5C" w:rsidP="00EF4C5C">
      <w:pPr>
        <w:pStyle w:val="Tabulasnosaukums"/>
        <w:spacing w:after="0"/>
        <w:rPr>
          <w:rFonts w:ascii="Times New Roman" w:hAnsi="Times New Roman"/>
        </w:rPr>
      </w:pPr>
      <w:r w:rsidRPr="007929B5">
        <w:rPr>
          <w:rFonts w:ascii="Times New Roman" w:hAnsi="Times New Roman"/>
        </w:rPr>
        <w:t>Monitoringa mērījumu un testu apkopojums</w:t>
      </w:r>
    </w:p>
    <w:tbl>
      <w:tblPr>
        <w:tblStyle w:val="Reatabula"/>
        <w:tblW w:w="0" w:type="auto"/>
        <w:jc w:val="center"/>
        <w:tblLook w:val="04A0" w:firstRow="1" w:lastRow="0" w:firstColumn="1" w:lastColumn="0" w:noHBand="0" w:noVBand="1"/>
      </w:tblPr>
      <w:tblGrid>
        <w:gridCol w:w="4957"/>
        <w:gridCol w:w="1559"/>
        <w:gridCol w:w="1559"/>
      </w:tblGrid>
      <w:tr w:rsidR="00EF4C5C" w:rsidRPr="007929B5" w14:paraId="1964EC48" w14:textId="77777777" w:rsidTr="00336727">
        <w:trPr>
          <w:jc w:val="center"/>
        </w:trPr>
        <w:tc>
          <w:tcPr>
            <w:tcW w:w="4957" w:type="dxa"/>
            <w:shd w:val="clear" w:color="auto" w:fill="002060"/>
            <w:vAlign w:val="center"/>
          </w:tcPr>
          <w:p w14:paraId="42DD5049" w14:textId="77777777" w:rsidR="00EF4C5C" w:rsidRPr="007929B5" w:rsidRDefault="00EF4C5C" w:rsidP="00336727">
            <w:pPr>
              <w:rPr>
                <w:b/>
                <w:bCs/>
              </w:rPr>
            </w:pPr>
            <w:r w:rsidRPr="007929B5">
              <w:rPr>
                <w:b/>
                <w:bCs/>
              </w:rPr>
              <w:t>Aktivitāte</w:t>
            </w:r>
          </w:p>
        </w:tc>
        <w:tc>
          <w:tcPr>
            <w:tcW w:w="1559" w:type="dxa"/>
            <w:shd w:val="clear" w:color="auto" w:fill="002060"/>
            <w:vAlign w:val="center"/>
          </w:tcPr>
          <w:p w14:paraId="3F5DD830" w14:textId="77777777" w:rsidR="00EF4C5C" w:rsidRPr="007929B5" w:rsidRDefault="00EF4C5C" w:rsidP="00336727">
            <w:pPr>
              <w:jc w:val="center"/>
              <w:rPr>
                <w:b/>
                <w:bCs/>
              </w:rPr>
            </w:pPr>
            <w:r w:rsidRPr="007929B5">
              <w:rPr>
                <w:b/>
                <w:bCs/>
              </w:rPr>
              <w:t>Monitoringa cikls bez paraugu ņemšanas</w:t>
            </w:r>
          </w:p>
        </w:tc>
        <w:tc>
          <w:tcPr>
            <w:tcW w:w="1559" w:type="dxa"/>
            <w:shd w:val="clear" w:color="auto" w:fill="002060"/>
            <w:vAlign w:val="center"/>
          </w:tcPr>
          <w:p w14:paraId="0E3B70D9" w14:textId="77777777" w:rsidR="00EF4C5C" w:rsidRPr="007929B5" w:rsidRDefault="00EF4C5C" w:rsidP="00336727">
            <w:pPr>
              <w:jc w:val="center"/>
              <w:rPr>
                <w:b/>
                <w:bCs/>
              </w:rPr>
            </w:pPr>
            <w:r w:rsidRPr="007929B5">
              <w:rPr>
                <w:b/>
                <w:bCs/>
              </w:rPr>
              <w:t>Monitoringa cikls ar paraugu ņemšanu</w:t>
            </w:r>
          </w:p>
        </w:tc>
      </w:tr>
      <w:tr w:rsidR="00EF4C5C" w:rsidRPr="007929B5" w14:paraId="6DDA56D3" w14:textId="77777777" w:rsidTr="00336727">
        <w:trPr>
          <w:jc w:val="center"/>
        </w:trPr>
        <w:tc>
          <w:tcPr>
            <w:tcW w:w="4957" w:type="dxa"/>
            <w:vAlign w:val="center"/>
          </w:tcPr>
          <w:p w14:paraId="4FC94984" w14:textId="77777777" w:rsidR="00EF4C5C" w:rsidRPr="007929B5" w:rsidRDefault="00EF4C5C" w:rsidP="00336727">
            <w:pPr>
              <w:rPr>
                <w:i/>
                <w:iCs/>
              </w:rPr>
            </w:pPr>
            <w:r w:rsidRPr="007929B5">
              <w:rPr>
                <w:i/>
                <w:iCs/>
              </w:rPr>
              <w:t>Monitoringa akas apsekošana un tehniskā stāvokļa (atbilstība mērījumu/</w:t>
            </w:r>
            <w:proofErr w:type="spellStart"/>
            <w:r w:rsidRPr="007929B5">
              <w:rPr>
                <w:i/>
                <w:iCs/>
              </w:rPr>
              <w:t>paraugošanas</w:t>
            </w:r>
            <w:proofErr w:type="spellEnd"/>
            <w:r w:rsidRPr="007929B5">
              <w:rPr>
                <w:i/>
                <w:iCs/>
              </w:rPr>
              <w:t xml:space="preserve"> veikšanai) novērtēšana</w:t>
            </w:r>
          </w:p>
        </w:tc>
        <w:tc>
          <w:tcPr>
            <w:tcW w:w="1559" w:type="dxa"/>
            <w:shd w:val="clear" w:color="auto" w:fill="B3E5A1" w:themeFill="accent6" w:themeFillTint="66"/>
            <w:vAlign w:val="center"/>
          </w:tcPr>
          <w:p w14:paraId="7816321A" w14:textId="77777777" w:rsidR="00EF4C5C" w:rsidRPr="007929B5" w:rsidRDefault="00EF4C5C" w:rsidP="00336727">
            <w:pPr>
              <w:jc w:val="center"/>
            </w:pPr>
            <w:r w:rsidRPr="007929B5">
              <w:t>+</w:t>
            </w:r>
          </w:p>
        </w:tc>
        <w:tc>
          <w:tcPr>
            <w:tcW w:w="1559" w:type="dxa"/>
            <w:shd w:val="clear" w:color="auto" w:fill="B3E5A1" w:themeFill="accent6" w:themeFillTint="66"/>
            <w:vAlign w:val="center"/>
          </w:tcPr>
          <w:p w14:paraId="068D17E5" w14:textId="77777777" w:rsidR="00EF4C5C" w:rsidRPr="007929B5" w:rsidRDefault="00EF4C5C" w:rsidP="00336727">
            <w:pPr>
              <w:jc w:val="center"/>
            </w:pPr>
            <w:r w:rsidRPr="007929B5">
              <w:t>+</w:t>
            </w:r>
          </w:p>
        </w:tc>
      </w:tr>
      <w:tr w:rsidR="00EF4C5C" w:rsidRPr="007929B5" w14:paraId="70D9D0A1" w14:textId="77777777" w:rsidTr="00336727">
        <w:trPr>
          <w:jc w:val="center"/>
        </w:trPr>
        <w:tc>
          <w:tcPr>
            <w:tcW w:w="4957" w:type="dxa"/>
            <w:vAlign w:val="center"/>
          </w:tcPr>
          <w:p w14:paraId="6C41C40D" w14:textId="77777777" w:rsidR="00EF4C5C" w:rsidRPr="007929B5" w:rsidRDefault="00EF4C5C" w:rsidP="00336727">
            <w:pPr>
              <w:rPr>
                <w:i/>
                <w:iCs/>
              </w:rPr>
            </w:pPr>
            <w:r w:rsidRPr="007929B5">
              <w:rPr>
                <w:i/>
                <w:iCs/>
              </w:rPr>
              <w:t>GŪL un NP peldošā slāņa mērījumi akā</w:t>
            </w:r>
          </w:p>
        </w:tc>
        <w:tc>
          <w:tcPr>
            <w:tcW w:w="1559" w:type="dxa"/>
            <w:shd w:val="clear" w:color="auto" w:fill="B3E5A1" w:themeFill="accent6" w:themeFillTint="66"/>
            <w:vAlign w:val="center"/>
          </w:tcPr>
          <w:p w14:paraId="320B1A0A" w14:textId="77777777" w:rsidR="00EF4C5C" w:rsidRPr="007929B5" w:rsidRDefault="00EF4C5C" w:rsidP="00336727">
            <w:pPr>
              <w:jc w:val="center"/>
            </w:pPr>
            <w:r w:rsidRPr="007929B5">
              <w:t>+</w:t>
            </w:r>
          </w:p>
        </w:tc>
        <w:tc>
          <w:tcPr>
            <w:tcW w:w="1559" w:type="dxa"/>
            <w:shd w:val="clear" w:color="auto" w:fill="B3E5A1" w:themeFill="accent6" w:themeFillTint="66"/>
            <w:vAlign w:val="center"/>
          </w:tcPr>
          <w:p w14:paraId="6EF2BA16" w14:textId="77777777" w:rsidR="00EF4C5C" w:rsidRPr="007929B5" w:rsidRDefault="00EF4C5C" w:rsidP="00336727">
            <w:pPr>
              <w:jc w:val="center"/>
            </w:pPr>
            <w:r w:rsidRPr="007929B5">
              <w:t>+</w:t>
            </w:r>
          </w:p>
        </w:tc>
      </w:tr>
      <w:tr w:rsidR="00EF4C5C" w:rsidRPr="007929B5" w14:paraId="3F0277E6" w14:textId="77777777" w:rsidTr="00336727">
        <w:trPr>
          <w:jc w:val="center"/>
        </w:trPr>
        <w:tc>
          <w:tcPr>
            <w:tcW w:w="4957" w:type="dxa"/>
            <w:vAlign w:val="center"/>
          </w:tcPr>
          <w:p w14:paraId="6F25AD64" w14:textId="77777777" w:rsidR="00EF4C5C" w:rsidRPr="007929B5" w:rsidRDefault="00EF4C5C" w:rsidP="00336727">
            <w:pPr>
              <w:rPr>
                <w:i/>
                <w:iCs/>
              </w:rPr>
            </w:pPr>
            <w:r w:rsidRPr="007929B5">
              <w:rPr>
                <w:i/>
                <w:iCs/>
              </w:rPr>
              <w:t>Akas atsūknēšana/tīrīšana</w:t>
            </w:r>
          </w:p>
        </w:tc>
        <w:tc>
          <w:tcPr>
            <w:tcW w:w="1559" w:type="dxa"/>
            <w:shd w:val="clear" w:color="auto" w:fill="B3E5A1" w:themeFill="accent6" w:themeFillTint="66"/>
            <w:vAlign w:val="center"/>
          </w:tcPr>
          <w:p w14:paraId="1379CDBE" w14:textId="77777777" w:rsidR="00EF4C5C" w:rsidRPr="007929B5" w:rsidRDefault="00EF4C5C" w:rsidP="00336727">
            <w:pPr>
              <w:jc w:val="center"/>
              <w:rPr>
                <w:vertAlign w:val="superscript"/>
              </w:rPr>
            </w:pPr>
            <w:r w:rsidRPr="007929B5">
              <w:t>+</w:t>
            </w:r>
            <w:r w:rsidRPr="007929B5">
              <w:rPr>
                <w:vertAlign w:val="superscript"/>
              </w:rPr>
              <w:t>*</w:t>
            </w:r>
          </w:p>
        </w:tc>
        <w:tc>
          <w:tcPr>
            <w:tcW w:w="1559" w:type="dxa"/>
            <w:shd w:val="clear" w:color="auto" w:fill="B3E5A1" w:themeFill="accent6" w:themeFillTint="66"/>
            <w:vAlign w:val="center"/>
          </w:tcPr>
          <w:p w14:paraId="42D6A19A" w14:textId="77777777" w:rsidR="00EF4C5C" w:rsidRPr="007929B5" w:rsidRDefault="00EF4C5C" w:rsidP="00336727">
            <w:pPr>
              <w:jc w:val="center"/>
            </w:pPr>
            <w:r w:rsidRPr="007929B5">
              <w:t>+</w:t>
            </w:r>
          </w:p>
        </w:tc>
      </w:tr>
      <w:tr w:rsidR="00EF4C5C" w:rsidRPr="007929B5" w14:paraId="27D7955F" w14:textId="77777777" w:rsidTr="00336727">
        <w:trPr>
          <w:jc w:val="center"/>
        </w:trPr>
        <w:tc>
          <w:tcPr>
            <w:tcW w:w="4957" w:type="dxa"/>
            <w:vAlign w:val="center"/>
          </w:tcPr>
          <w:p w14:paraId="5CBE7C0F" w14:textId="77777777" w:rsidR="00EF4C5C" w:rsidRPr="007929B5" w:rsidRDefault="00EF4C5C" w:rsidP="00336727">
            <w:pPr>
              <w:rPr>
                <w:i/>
                <w:iCs/>
              </w:rPr>
            </w:pPr>
            <w:proofErr w:type="spellStart"/>
            <w:r w:rsidRPr="007929B5">
              <w:rPr>
                <w:i/>
                <w:iCs/>
              </w:rPr>
              <w:t>Hidroķīmisko</w:t>
            </w:r>
            <w:proofErr w:type="spellEnd"/>
            <w:r w:rsidRPr="007929B5">
              <w:rPr>
                <w:i/>
                <w:iCs/>
              </w:rPr>
              <w:t xml:space="preserve"> parametru (</w:t>
            </w:r>
            <w:proofErr w:type="spellStart"/>
            <w:r w:rsidRPr="007929B5">
              <w:rPr>
                <w:i/>
                <w:iCs/>
              </w:rPr>
              <w:t>pH</w:t>
            </w:r>
            <w:proofErr w:type="spellEnd"/>
            <w:r w:rsidRPr="007929B5">
              <w:rPr>
                <w:i/>
                <w:iCs/>
              </w:rPr>
              <w:t>, elektrovadītspēja, temperatūra) mērījumi</w:t>
            </w:r>
          </w:p>
        </w:tc>
        <w:tc>
          <w:tcPr>
            <w:tcW w:w="1559" w:type="dxa"/>
            <w:shd w:val="clear" w:color="auto" w:fill="auto"/>
            <w:vAlign w:val="center"/>
          </w:tcPr>
          <w:p w14:paraId="12AA2C8F" w14:textId="77777777" w:rsidR="00EF4C5C" w:rsidRPr="007929B5" w:rsidRDefault="00EF4C5C" w:rsidP="00336727">
            <w:pPr>
              <w:jc w:val="center"/>
            </w:pPr>
          </w:p>
        </w:tc>
        <w:tc>
          <w:tcPr>
            <w:tcW w:w="1559" w:type="dxa"/>
            <w:shd w:val="clear" w:color="auto" w:fill="B3E5A1" w:themeFill="accent6" w:themeFillTint="66"/>
            <w:vAlign w:val="center"/>
          </w:tcPr>
          <w:p w14:paraId="257C2D03" w14:textId="77777777" w:rsidR="00EF4C5C" w:rsidRPr="007929B5" w:rsidRDefault="00EF4C5C" w:rsidP="00336727">
            <w:pPr>
              <w:jc w:val="center"/>
            </w:pPr>
            <w:r w:rsidRPr="007929B5">
              <w:t>+</w:t>
            </w:r>
          </w:p>
        </w:tc>
      </w:tr>
      <w:tr w:rsidR="00EF4C5C" w:rsidRPr="007929B5" w14:paraId="370B9B75" w14:textId="77777777" w:rsidTr="00336727">
        <w:trPr>
          <w:jc w:val="center"/>
        </w:trPr>
        <w:tc>
          <w:tcPr>
            <w:tcW w:w="4957" w:type="dxa"/>
            <w:vAlign w:val="center"/>
          </w:tcPr>
          <w:p w14:paraId="148A29B7" w14:textId="77777777" w:rsidR="00EF4C5C" w:rsidRPr="007929B5" w:rsidRDefault="00EF4C5C" w:rsidP="00336727">
            <w:pPr>
              <w:rPr>
                <w:i/>
                <w:iCs/>
              </w:rPr>
            </w:pPr>
            <w:r w:rsidRPr="007929B5">
              <w:rPr>
                <w:i/>
                <w:iCs/>
              </w:rPr>
              <w:t>GŪ parauga noņemšana</w:t>
            </w:r>
          </w:p>
        </w:tc>
        <w:tc>
          <w:tcPr>
            <w:tcW w:w="1559" w:type="dxa"/>
            <w:shd w:val="clear" w:color="auto" w:fill="auto"/>
            <w:vAlign w:val="center"/>
          </w:tcPr>
          <w:p w14:paraId="136F20E8" w14:textId="77777777" w:rsidR="00EF4C5C" w:rsidRPr="007929B5" w:rsidRDefault="00EF4C5C" w:rsidP="00336727">
            <w:pPr>
              <w:jc w:val="center"/>
            </w:pPr>
          </w:p>
        </w:tc>
        <w:tc>
          <w:tcPr>
            <w:tcW w:w="1559" w:type="dxa"/>
            <w:shd w:val="clear" w:color="auto" w:fill="B3E5A1" w:themeFill="accent6" w:themeFillTint="66"/>
            <w:vAlign w:val="center"/>
          </w:tcPr>
          <w:p w14:paraId="294E2C70" w14:textId="77777777" w:rsidR="00EF4C5C" w:rsidRPr="007929B5" w:rsidRDefault="00EF4C5C" w:rsidP="00336727">
            <w:pPr>
              <w:jc w:val="center"/>
            </w:pPr>
            <w:r w:rsidRPr="007929B5">
              <w:t>+</w:t>
            </w:r>
          </w:p>
        </w:tc>
      </w:tr>
      <w:tr w:rsidR="00EF4C5C" w:rsidRPr="007929B5" w14:paraId="6A368DC8" w14:textId="77777777" w:rsidTr="00336727">
        <w:trPr>
          <w:jc w:val="center"/>
        </w:trPr>
        <w:tc>
          <w:tcPr>
            <w:tcW w:w="4957" w:type="dxa"/>
            <w:vAlign w:val="center"/>
          </w:tcPr>
          <w:p w14:paraId="53579804" w14:textId="77777777" w:rsidR="00EF4C5C" w:rsidRPr="007929B5" w:rsidRDefault="00EF4C5C" w:rsidP="00336727">
            <w:pPr>
              <w:rPr>
                <w:i/>
                <w:iCs/>
              </w:rPr>
            </w:pPr>
            <w:r w:rsidRPr="007929B5">
              <w:rPr>
                <w:i/>
                <w:iCs/>
              </w:rPr>
              <w:t>NP analīze GŪ paraugā akreditētā laboratorijā</w:t>
            </w:r>
          </w:p>
        </w:tc>
        <w:tc>
          <w:tcPr>
            <w:tcW w:w="1559" w:type="dxa"/>
            <w:shd w:val="clear" w:color="auto" w:fill="auto"/>
            <w:vAlign w:val="center"/>
          </w:tcPr>
          <w:p w14:paraId="626FBA5A" w14:textId="77777777" w:rsidR="00EF4C5C" w:rsidRPr="007929B5" w:rsidRDefault="00EF4C5C" w:rsidP="00336727">
            <w:pPr>
              <w:jc w:val="center"/>
            </w:pPr>
          </w:p>
        </w:tc>
        <w:tc>
          <w:tcPr>
            <w:tcW w:w="1559" w:type="dxa"/>
            <w:shd w:val="clear" w:color="auto" w:fill="B3E5A1" w:themeFill="accent6" w:themeFillTint="66"/>
            <w:vAlign w:val="center"/>
          </w:tcPr>
          <w:p w14:paraId="734CF3EC" w14:textId="77777777" w:rsidR="00EF4C5C" w:rsidRPr="007929B5" w:rsidRDefault="00EF4C5C" w:rsidP="00336727">
            <w:pPr>
              <w:jc w:val="center"/>
            </w:pPr>
            <w:r w:rsidRPr="007929B5">
              <w:t>+</w:t>
            </w:r>
          </w:p>
        </w:tc>
      </w:tr>
      <w:tr w:rsidR="00EF4C5C" w:rsidRPr="007929B5" w14:paraId="6FC23205" w14:textId="77777777" w:rsidTr="00336727">
        <w:trPr>
          <w:jc w:val="center"/>
        </w:trPr>
        <w:tc>
          <w:tcPr>
            <w:tcW w:w="4957" w:type="dxa"/>
            <w:vAlign w:val="center"/>
          </w:tcPr>
          <w:p w14:paraId="49EA24F8" w14:textId="77777777" w:rsidR="00EF4C5C" w:rsidRPr="007929B5" w:rsidRDefault="00EF4C5C" w:rsidP="00336727">
            <w:pPr>
              <w:rPr>
                <w:b/>
                <w:bCs/>
                <w:i/>
                <w:iCs/>
              </w:rPr>
            </w:pPr>
            <w:r w:rsidRPr="007929B5">
              <w:rPr>
                <w:i/>
                <w:iCs/>
              </w:rPr>
              <w:t>BTEX analīze GŪ paraugā akreditētā laboratorijā</w:t>
            </w:r>
          </w:p>
        </w:tc>
        <w:tc>
          <w:tcPr>
            <w:tcW w:w="1559" w:type="dxa"/>
            <w:shd w:val="clear" w:color="auto" w:fill="auto"/>
            <w:vAlign w:val="center"/>
          </w:tcPr>
          <w:p w14:paraId="36992CD7" w14:textId="77777777" w:rsidR="00EF4C5C" w:rsidRPr="007929B5" w:rsidRDefault="00EF4C5C" w:rsidP="00336727">
            <w:pPr>
              <w:jc w:val="center"/>
            </w:pPr>
          </w:p>
        </w:tc>
        <w:tc>
          <w:tcPr>
            <w:tcW w:w="1559" w:type="dxa"/>
            <w:shd w:val="clear" w:color="auto" w:fill="B3E5A1" w:themeFill="accent6" w:themeFillTint="66"/>
            <w:vAlign w:val="center"/>
          </w:tcPr>
          <w:p w14:paraId="2D59F96A" w14:textId="77777777" w:rsidR="00EF4C5C" w:rsidRPr="007929B5" w:rsidRDefault="00EF4C5C" w:rsidP="00336727">
            <w:pPr>
              <w:jc w:val="center"/>
            </w:pPr>
            <w:r w:rsidRPr="007929B5">
              <w:t>+</w:t>
            </w:r>
          </w:p>
        </w:tc>
      </w:tr>
    </w:tbl>
    <w:p w14:paraId="0805D3D8" w14:textId="77777777" w:rsidR="00EF4C5C" w:rsidRPr="007929B5" w:rsidRDefault="00EF4C5C" w:rsidP="00EF4C5C">
      <w:pPr>
        <w:ind w:left="567"/>
        <w:rPr>
          <w:rFonts w:ascii="Times New Roman" w:hAnsi="Times New Roman"/>
          <w:i/>
          <w:iCs/>
          <w:sz w:val="18"/>
          <w:szCs w:val="18"/>
        </w:rPr>
      </w:pPr>
      <w:r w:rsidRPr="007929B5">
        <w:rPr>
          <w:rFonts w:ascii="Times New Roman" w:hAnsi="Times New Roman"/>
          <w:sz w:val="18"/>
          <w:szCs w:val="18"/>
          <w:vertAlign w:val="superscript"/>
        </w:rPr>
        <w:t xml:space="preserve">* </w:t>
      </w:r>
      <w:r w:rsidRPr="007929B5">
        <w:rPr>
          <w:rFonts w:ascii="Times New Roman" w:hAnsi="Times New Roman"/>
          <w:sz w:val="18"/>
          <w:szCs w:val="18"/>
        </w:rPr>
        <w:t xml:space="preserve">- </w:t>
      </w:r>
      <w:r w:rsidRPr="007929B5">
        <w:rPr>
          <w:rFonts w:ascii="Times New Roman" w:hAnsi="Times New Roman"/>
          <w:i/>
          <w:iCs/>
          <w:sz w:val="18"/>
          <w:szCs w:val="18"/>
        </w:rPr>
        <w:t>Monitoringa ciklā bez paraugu ņemšanas akas atsūknēšanu/tīrīšanu veic, ja mērījumu rezultātā konstatēts NP peldošais slānis.</w:t>
      </w:r>
    </w:p>
    <w:p w14:paraId="31926C09" w14:textId="77777777" w:rsidR="00EF4C5C" w:rsidRPr="007929B5" w:rsidRDefault="00EF4C5C" w:rsidP="00EF4C5C">
      <w:pPr>
        <w:jc w:val="both"/>
        <w:rPr>
          <w:rFonts w:ascii="Times New Roman" w:hAnsi="Times New Roman"/>
        </w:rPr>
      </w:pPr>
    </w:p>
    <w:p w14:paraId="306C3A91" w14:textId="03D2379B" w:rsidR="00F00FF4" w:rsidRPr="007929B5" w:rsidRDefault="00F00FF4" w:rsidP="00F00FF4">
      <w:pPr>
        <w:rPr>
          <w:rFonts w:ascii="Times New Roman" w:hAnsi="Times New Roman"/>
        </w:rPr>
      </w:pPr>
      <w:r w:rsidRPr="007929B5">
        <w:rPr>
          <w:rFonts w:ascii="Times New Roman" w:hAnsi="Times New Roman"/>
        </w:rPr>
        <w:t xml:space="preserve">Sagaidāms, ka realizējot šādu </w:t>
      </w:r>
      <w:proofErr w:type="spellStart"/>
      <w:r w:rsidRPr="007929B5">
        <w:rPr>
          <w:rFonts w:ascii="Times New Roman" w:hAnsi="Times New Roman"/>
        </w:rPr>
        <w:t>pēcsanācijas</w:t>
      </w:r>
      <w:proofErr w:type="spellEnd"/>
      <w:r w:rsidRPr="007929B5">
        <w:rPr>
          <w:rFonts w:ascii="Times New Roman" w:hAnsi="Times New Roman"/>
        </w:rPr>
        <w:t xml:space="preserve"> monitoringu:</w:t>
      </w:r>
    </w:p>
    <w:p w14:paraId="0B4777DD" w14:textId="2E9665EF" w:rsidR="004E01B9" w:rsidRPr="007929B5" w:rsidRDefault="00F00FF4" w:rsidP="00116840">
      <w:pPr>
        <w:jc w:val="both"/>
        <w:rPr>
          <w:rFonts w:ascii="Times New Roman" w:hAnsi="Times New Roman"/>
        </w:rPr>
      </w:pPr>
      <w:r w:rsidRPr="007929B5">
        <w:rPr>
          <w:rFonts w:ascii="Times New Roman" w:hAnsi="Times New Roman"/>
        </w:rPr>
        <w:t>-</w:t>
      </w:r>
      <w:r w:rsidRPr="007929B5">
        <w:rPr>
          <w:rFonts w:ascii="Times New Roman" w:hAnsi="Times New Roman"/>
        </w:rPr>
        <w:tab/>
        <w:t>Tiks veikta teritorijas gruntsūdens stāvokļa novērtēšana, kā arī kontrolēta ierīkotās barjeras darbības efektivitāte. Pirmos 2 gadus monitorings tiks veikts 2 reizes gadā</w:t>
      </w:r>
      <w:r w:rsidR="00260B9D">
        <w:rPr>
          <w:rFonts w:ascii="Times New Roman" w:hAnsi="Times New Roman"/>
        </w:rPr>
        <w:t xml:space="preserve"> (saskaņā ar 1.tabulā norādīto grafiku)</w:t>
      </w:r>
      <w:r w:rsidRPr="007929B5">
        <w:rPr>
          <w:rFonts w:ascii="Times New Roman" w:hAnsi="Times New Roman"/>
        </w:rPr>
        <w:t>, attiecīgi 1. pusgadā</w:t>
      </w:r>
      <w:r w:rsidR="00C03A00">
        <w:rPr>
          <w:rFonts w:ascii="Times New Roman" w:hAnsi="Times New Roman"/>
        </w:rPr>
        <w:t xml:space="preserve"> un 2.pusgadā</w:t>
      </w:r>
      <w:r w:rsidRPr="007929B5">
        <w:rPr>
          <w:rFonts w:ascii="Times New Roman" w:hAnsi="Times New Roman"/>
        </w:rPr>
        <w:t xml:space="preserve"> veicot GŪL līmeņu mērījumus un GŪ </w:t>
      </w:r>
      <w:proofErr w:type="spellStart"/>
      <w:r w:rsidRPr="007929B5">
        <w:rPr>
          <w:rFonts w:ascii="Times New Roman" w:hAnsi="Times New Roman"/>
        </w:rPr>
        <w:t>paraugošanu</w:t>
      </w:r>
      <w:proofErr w:type="spellEnd"/>
      <w:r w:rsidRPr="007929B5">
        <w:rPr>
          <w:rFonts w:ascii="Times New Roman" w:hAnsi="Times New Roman"/>
        </w:rPr>
        <w:t>, t.sk. realizējot saistītos darbus, bet nākamos 3 gadus monitorings tiks veiks vienu reizi gadā (1. pusgadā)</w:t>
      </w:r>
      <w:r w:rsidR="00260B9D" w:rsidRPr="00260B9D">
        <w:rPr>
          <w:rFonts w:ascii="Times New Roman" w:hAnsi="Times New Roman"/>
        </w:rPr>
        <w:t xml:space="preserve"> </w:t>
      </w:r>
      <w:r w:rsidR="00260B9D">
        <w:rPr>
          <w:rFonts w:ascii="Times New Roman" w:hAnsi="Times New Roman"/>
        </w:rPr>
        <w:t>(saskaņā ar 1.tabulā norādīto grafiku)</w:t>
      </w:r>
      <w:r w:rsidRPr="007929B5">
        <w:rPr>
          <w:rFonts w:ascii="Times New Roman" w:hAnsi="Times New Roman"/>
        </w:rPr>
        <w:t xml:space="preserve">, kad paredzēts realizēt mērījumus un </w:t>
      </w:r>
      <w:proofErr w:type="spellStart"/>
      <w:r w:rsidRPr="007929B5">
        <w:rPr>
          <w:rFonts w:ascii="Times New Roman" w:hAnsi="Times New Roman"/>
        </w:rPr>
        <w:t>paraugošanu</w:t>
      </w:r>
      <w:proofErr w:type="spellEnd"/>
      <w:r w:rsidRPr="007929B5">
        <w:rPr>
          <w:rFonts w:ascii="Times New Roman" w:hAnsi="Times New Roman"/>
        </w:rPr>
        <w:t>.</w:t>
      </w:r>
    </w:p>
    <w:p w14:paraId="2E288DE2" w14:textId="77777777" w:rsidR="004E01B9" w:rsidRPr="007929B5" w:rsidRDefault="004E01B9" w:rsidP="004E01B9">
      <w:pPr>
        <w:rPr>
          <w:rFonts w:ascii="Times New Roman" w:hAnsi="Times New Roman"/>
        </w:rPr>
      </w:pPr>
    </w:p>
    <w:p w14:paraId="6EFDB505" w14:textId="76BF3ADC" w:rsidR="007A0D9A" w:rsidRPr="007929B5" w:rsidRDefault="00EF4C5C" w:rsidP="004E01B9">
      <w:pPr>
        <w:jc w:val="both"/>
        <w:rPr>
          <w:rFonts w:ascii="Times New Roman" w:hAnsi="Times New Roman"/>
        </w:rPr>
      </w:pPr>
      <w:r w:rsidRPr="007929B5">
        <w:rPr>
          <w:rFonts w:ascii="Times New Roman" w:hAnsi="Times New Roman"/>
        </w:rPr>
        <w:t>Par katru monitoringa periodu</w:t>
      </w:r>
      <w:r w:rsidR="004E01B9" w:rsidRPr="007929B5">
        <w:rPr>
          <w:rFonts w:ascii="Times New Roman" w:hAnsi="Times New Roman"/>
        </w:rPr>
        <w:t xml:space="preserve"> </w:t>
      </w:r>
      <w:r w:rsidRPr="007929B5">
        <w:rPr>
          <w:rFonts w:ascii="Times New Roman" w:hAnsi="Times New Roman"/>
        </w:rPr>
        <w:t xml:space="preserve">ne vēlāk kā 30 dienas pēc monitoringa lauku darbu veikšanas, jāsagatavo Ziņojums par veiktajiem monitoringa pasākumiem un rezultātiem. Ziņojums jāiesniedz Pasūtītājam un VVD. </w:t>
      </w:r>
    </w:p>
    <w:sectPr w:rsidR="007A0D9A" w:rsidRPr="007929B5" w:rsidSect="000747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291FC1"/>
    <w:multiLevelType w:val="hybridMultilevel"/>
    <w:tmpl w:val="BD20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075B9"/>
    <w:multiLevelType w:val="hybridMultilevel"/>
    <w:tmpl w:val="32843B62"/>
    <w:lvl w:ilvl="0" w:tplc="7CD6AD76">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762BD"/>
    <w:multiLevelType w:val="hybridMultilevel"/>
    <w:tmpl w:val="AF88843C"/>
    <w:lvl w:ilvl="0" w:tplc="BFF0D7F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84D57"/>
    <w:multiLevelType w:val="hybridMultilevel"/>
    <w:tmpl w:val="329CF71A"/>
    <w:lvl w:ilvl="0" w:tplc="2A985C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311066">
    <w:abstractNumId w:val="1"/>
  </w:num>
  <w:num w:numId="2" w16cid:durableId="1660228815">
    <w:abstractNumId w:val="3"/>
  </w:num>
  <w:num w:numId="3" w16cid:durableId="1075471088">
    <w:abstractNumId w:val="2"/>
  </w:num>
  <w:num w:numId="4" w16cid:durableId="183410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73"/>
    <w:rsid w:val="00074795"/>
    <w:rsid w:val="000B5C49"/>
    <w:rsid w:val="000D3C52"/>
    <w:rsid w:val="00116840"/>
    <w:rsid w:val="00167773"/>
    <w:rsid w:val="00185B77"/>
    <w:rsid w:val="00195AD9"/>
    <w:rsid w:val="001A3F20"/>
    <w:rsid w:val="0023043A"/>
    <w:rsid w:val="00260B9D"/>
    <w:rsid w:val="002679F9"/>
    <w:rsid w:val="002E49C6"/>
    <w:rsid w:val="0036043C"/>
    <w:rsid w:val="003D343E"/>
    <w:rsid w:val="003F3013"/>
    <w:rsid w:val="004231EC"/>
    <w:rsid w:val="004241F5"/>
    <w:rsid w:val="00451FA8"/>
    <w:rsid w:val="004E01B9"/>
    <w:rsid w:val="005016B1"/>
    <w:rsid w:val="0065009B"/>
    <w:rsid w:val="00690A29"/>
    <w:rsid w:val="006B04E9"/>
    <w:rsid w:val="006D2A70"/>
    <w:rsid w:val="006D3A7C"/>
    <w:rsid w:val="00776D54"/>
    <w:rsid w:val="007929B5"/>
    <w:rsid w:val="007A0D9A"/>
    <w:rsid w:val="00812AA6"/>
    <w:rsid w:val="00814058"/>
    <w:rsid w:val="00980130"/>
    <w:rsid w:val="00A71D6E"/>
    <w:rsid w:val="00A94987"/>
    <w:rsid w:val="00BB5E29"/>
    <w:rsid w:val="00BB64A3"/>
    <w:rsid w:val="00C03A00"/>
    <w:rsid w:val="00C372BE"/>
    <w:rsid w:val="00C46840"/>
    <w:rsid w:val="00C81F85"/>
    <w:rsid w:val="00CB59BF"/>
    <w:rsid w:val="00CC5999"/>
    <w:rsid w:val="00D170A5"/>
    <w:rsid w:val="00D277AD"/>
    <w:rsid w:val="00D37B82"/>
    <w:rsid w:val="00DD7E4A"/>
    <w:rsid w:val="00DF6F9E"/>
    <w:rsid w:val="00E231DC"/>
    <w:rsid w:val="00EF4C5C"/>
    <w:rsid w:val="00EF708D"/>
    <w:rsid w:val="00F00FF4"/>
    <w:rsid w:val="00FE6F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89E1"/>
  <w15:chartTrackingRefBased/>
  <w15:docId w15:val="{0B1B01A1-F3DD-4FFB-9958-C083D4E4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4C5C"/>
    <w:pPr>
      <w:spacing w:after="0" w:line="240" w:lineRule="auto"/>
    </w:pPr>
    <w:rPr>
      <w:rFonts w:eastAsia="Times New Roman" w:cs="Times New Roman"/>
      <w:kern w:val="0"/>
      <w:szCs w:val="24"/>
      <w:lang w:eastAsia="lv-LV"/>
      <w14:ligatures w14:val="none"/>
    </w:rPr>
  </w:style>
  <w:style w:type="paragraph" w:styleId="Virsraksts1">
    <w:name w:val="heading 1"/>
    <w:aliases w:val="NODAĻAS VIRSRAKSTS"/>
    <w:basedOn w:val="Parasts"/>
    <w:next w:val="Parasts"/>
    <w:link w:val="Virsraksts1Rakstz"/>
    <w:qFormat/>
    <w:rsid w:val="00167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aliases w:val="Apakšnodaļas virsraksts"/>
    <w:basedOn w:val="Parasts"/>
    <w:next w:val="Parasts"/>
    <w:link w:val="Virsraksts2Rakstz"/>
    <w:unhideWhenUsed/>
    <w:qFormat/>
    <w:rsid w:val="00167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aliases w:val="Punkta virsraksts"/>
    <w:basedOn w:val="Parasts"/>
    <w:next w:val="Parasts"/>
    <w:link w:val="Virsraksts3Rakstz"/>
    <w:unhideWhenUsed/>
    <w:qFormat/>
    <w:rsid w:val="0016777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6777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6777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6777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6777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6777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6777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NODAĻAS VIRSRAKSTS Rakstz."/>
    <w:basedOn w:val="Noklusjumarindkopasfonts"/>
    <w:link w:val="Virsraksts1"/>
    <w:rsid w:val="0016777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aliases w:val="Apakšnodaļas virsraksts Rakstz."/>
    <w:basedOn w:val="Noklusjumarindkopasfonts"/>
    <w:link w:val="Virsraksts2"/>
    <w:rsid w:val="0016777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aliases w:val="Punkta virsraksts Rakstz."/>
    <w:basedOn w:val="Noklusjumarindkopasfonts"/>
    <w:link w:val="Virsraksts3"/>
    <w:uiPriority w:val="9"/>
    <w:semiHidden/>
    <w:rsid w:val="0016777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6777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6777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6777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6777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6777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6777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777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6777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16777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16777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777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67773"/>
    <w:rPr>
      <w:i/>
      <w:iCs/>
      <w:color w:val="404040" w:themeColor="text1" w:themeTint="BF"/>
    </w:rPr>
  </w:style>
  <w:style w:type="paragraph" w:styleId="Sarakstarindkopa">
    <w:name w:val="List Paragraph"/>
    <w:basedOn w:val="Parasts"/>
    <w:link w:val="SarakstarindkopaRakstz"/>
    <w:uiPriority w:val="34"/>
    <w:qFormat/>
    <w:rsid w:val="00167773"/>
    <w:pPr>
      <w:ind w:left="720"/>
      <w:contextualSpacing/>
    </w:pPr>
  </w:style>
  <w:style w:type="character" w:styleId="Intensvsizclums">
    <w:name w:val="Intense Emphasis"/>
    <w:basedOn w:val="Noklusjumarindkopasfonts"/>
    <w:uiPriority w:val="21"/>
    <w:qFormat/>
    <w:rsid w:val="00167773"/>
    <w:rPr>
      <w:i/>
      <w:iCs/>
      <w:color w:val="0F4761" w:themeColor="accent1" w:themeShade="BF"/>
    </w:rPr>
  </w:style>
  <w:style w:type="paragraph" w:styleId="Intensvscitts">
    <w:name w:val="Intense Quote"/>
    <w:basedOn w:val="Parasts"/>
    <w:next w:val="Parasts"/>
    <w:link w:val="IntensvscittsRakstz"/>
    <w:uiPriority w:val="30"/>
    <w:qFormat/>
    <w:rsid w:val="00167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67773"/>
    <w:rPr>
      <w:i/>
      <w:iCs/>
      <w:color w:val="0F4761" w:themeColor="accent1" w:themeShade="BF"/>
    </w:rPr>
  </w:style>
  <w:style w:type="character" w:styleId="Intensvaatsauce">
    <w:name w:val="Intense Reference"/>
    <w:basedOn w:val="Noklusjumarindkopasfonts"/>
    <w:uiPriority w:val="32"/>
    <w:qFormat/>
    <w:rsid w:val="00167773"/>
    <w:rPr>
      <w:b/>
      <w:bCs/>
      <w:smallCaps/>
      <w:color w:val="0F4761" w:themeColor="accent1" w:themeShade="BF"/>
      <w:spacing w:val="5"/>
    </w:rPr>
  </w:style>
  <w:style w:type="paragraph" w:customStyle="1" w:styleId="Tabulasnosaukums">
    <w:name w:val="Tabulas nosaukums"/>
    <w:basedOn w:val="Parasts"/>
    <w:next w:val="Parasts"/>
    <w:rsid w:val="00EF4C5C"/>
    <w:pPr>
      <w:spacing w:after="120"/>
      <w:jc w:val="center"/>
    </w:pPr>
    <w:rPr>
      <w:rFonts w:ascii="Times New Roman Bold" w:hAnsi="Times New Roman Bold"/>
      <w:b/>
    </w:rPr>
  </w:style>
  <w:style w:type="table" w:styleId="Reatabula">
    <w:name w:val="Table Grid"/>
    <w:basedOn w:val="Parastatabula"/>
    <w:rsid w:val="00EF4C5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basedOn w:val="Noklusjumarindkopasfonts"/>
    <w:link w:val="Sarakstarindkopa"/>
    <w:uiPriority w:val="34"/>
    <w:rsid w:val="00EF4C5C"/>
  </w:style>
  <w:style w:type="character" w:styleId="Komentraatsauce">
    <w:name w:val="annotation reference"/>
    <w:basedOn w:val="Noklusjumarindkopasfonts"/>
    <w:uiPriority w:val="99"/>
    <w:semiHidden/>
    <w:unhideWhenUsed/>
    <w:rsid w:val="004E01B9"/>
    <w:rPr>
      <w:sz w:val="16"/>
      <w:szCs w:val="16"/>
    </w:rPr>
  </w:style>
  <w:style w:type="paragraph" w:styleId="Komentrateksts">
    <w:name w:val="annotation text"/>
    <w:basedOn w:val="Parasts"/>
    <w:link w:val="KomentratekstsRakstz"/>
    <w:uiPriority w:val="99"/>
    <w:unhideWhenUsed/>
    <w:rsid w:val="004E01B9"/>
    <w:rPr>
      <w:sz w:val="20"/>
      <w:szCs w:val="20"/>
    </w:rPr>
  </w:style>
  <w:style w:type="character" w:customStyle="1" w:styleId="KomentratekstsRakstz">
    <w:name w:val="Komentāra teksts Rakstz."/>
    <w:basedOn w:val="Noklusjumarindkopasfonts"/>
    <w:link w:val="Komentrateksts"/>
    <w:uiPriority w:val="99"/>
    <w:rsid w:val="004E01B9"/>
    <w:rPr>
      <w:rFonts w:eastAsia="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4E01B9"/>
    <w:rPr>
      <w:b/>
      <w:bCs/>
    </w:rPr>
  </w:style>
  <w:style w:type="character" w:customStyle="1" w:styleId="KomentratmaRakstz">
    <w:name w:val="Komentāra tēma Rakstz."/>
    <w:basedOn w:val="KomentratekstsRakstz"/>
    <w:link w:val="Komentratma"/>
    <w:uiPriority w:val="99"/>
    <w:semiHidden/>
    <w:rsid w:val="004E01B9"/>
    <w:rPr>
      <w:rFonts w:eastAsia="Times New Roman" w:cs="Times New Roman"/>
      <w:b/>
      <w:bCs/>
      <w:kern w:val="0"/>
      <w:sz w:val="20"/>
      <w:szCs w:val="20"/>
      <w:lang w:eastAsia="lv-LV"/>
      <w14:ligatures w14:val="none"/>
    </w:rPr>
  </w:style>
  <w:style w:type="paragraph" w:styleId="Prskatjums">
    <w:name w:val="Revision"/>
    <w:hidden/>
    <w:uiPriority w:val="99"/>
    <w:semiHidden/>
    <w:rsid w:val="00F00FF4"/>
    <w:pPr>
      <w:spacing w:after="0" w:line="240" w:lineRule="auto"/>
    </w:pPr>
    <w:rPr>
      <w:rFonts w:eastAsia="Times New Roman" w:cs="Times New Roman"/>
      <w:kern w:val="0"/>
      <w:szCs w:val="24"/>
      <w:lang w:eastAsia="lv-LV"/>
      <w14:ligatures w14:val="none"/>
    </w:rPr>
  </w:style>
  <w:style w:type="paragraph" w:customStyle="1" w:styleId="Attlanosaukums">
    <w:name w:val="Attēla nosaukums"/>
    <w:basedOn w:val="Ilustrcijusaraksts"/>
    <w:next w:val="Ilustrcijusaraksts"/>
    <w:rsid w:val="00814058"/>
    <w:pPr>
      <w:spacing w:before="240" w:after="120"/>
      <w:jc w:val="center"/>
    </w:pPr>
    <w:rPr>
      <w:rFonts w:ascii="Times New Roman Bold" w:hAnsi="Times New Roman Bold"/>
      <w:b/>
    </w:rPr>
  </w:style>
  <w:style w:type="paragraph" w:styleId="Ilustrcijusaraksts">
    <w:name w:val="table of figures"/>
    <w:basedOn w:val="Parasts"/>
    <w:next w:val="Parasts"/>
    <w:uiPriority w:val="99"/>
    <w:semiHidden/>
    <w:unhideWhenUsed/>
    <w:rsid w:val="0081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3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11512</Words>
  <Characters>6562</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8</cp:revision>
  <dcterms:created xsi:type="dcterms:W3CDTF">2024-05-27T10:53:00Z</dcterms:created>
  <dcterms:modified xsi:type="dcterms:W3CDTF">2024-06-11T08:27:00Z</dcterms:modified>
</cp:coreProperties>
</file>