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E8DC0" w14:textId="48817689" w:rsidR="00812AA6" w:rsidRPr="007B5E5B" w:rsidRDefault="00812AA6" w:rsidP="00812AA6">
      <w:pPr>
        <w:jc w:val="right"/>
        <w:rPr>
          <w:rFonts w:ascii="Times New Roman" w:hAnsi="Times New Roman"/>
          <w:b/>
          <w:i/>
          <w:iCs/>
          <w:color w:val="000000"/>
          <w:sz w:val="20"/>
          <w:szCs w:val="20"/>
        </w:rPr>
      </w:pPr>
      <w:bookmarkStart w:id="0" w:name="_Toc158735767"/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1</w:t>
      </w:r>
      <w:r w:rsidRPr="007B5E5B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.pielikums</w:t>
      </w:r>
    </w:p>
    <w:p w14:paraId="5E40E8EC" w14:textId="77777777" w:rsidR="00812AA6" w:rsidRDefault="00812AA6" w:rsidP="00812AA6">
      <w:pPr>
        <w:jc w:val="right"/>
        <w:rPr>
          <w:rFonts w:ascii="Times New Roman" w:hAnsi="Times New Roman"/>
          <w:i/>
          <w:iCs/>
          <w:sz w:val="20"/>
          <w:szCs w:val="20"/>
        </w:rPr>
      </w:pPr>
      <w:r w:rsidRPr="007B5E5B">
        <w:rPr>
          <w:rFonts w:ascii="Times New Roman" w:hAnsi="Times New Roman"/>
          <w:i/>
          <w:iCs/>
          <w:sz w:val="20"/>
          <w:szCs w:val="20"/>
        </w:rPr>
        <w:t xml:space="preserve">Atklātā iepirkuma </w:t>
      </w:r>
      <w:bookmarkStart w:id="1" w:name="_Hlk134710464"/>
      <w:r w:rsidRPr="007B5E5B">
        <w:rPr>
          <w:rFonts w:ascii="Times New Roman" w:hAnsi="Times New Roman"/>
          <w:i/>
          <w:iCs/>
          <w:sz w:val="20"/>
          <w:szCs w:val="20"/>
        </w:rPr>
        <w:t>“</w:t>
      </w:r>
      <w:proofErr w:type="spellStart"/>
      <w:r w:rsidRPr="00D72975">
        <w:rPr>
          <w:rFonts w:ascii="Times New Roman" w:hAnsi="Times New Roman"/>
          <w:i/>
          <w:iCs/>
          <w:sz w:val="20"/>
          <w:szCs w:val="20"/>
        </w:rPr>
        <w:t>Pēcsanācijas</w:t>
      </w:r>
      <w:proofErr w:type="spellEnd"/>
      <w:r w:rsidRPr="00D72975">
        <w:rPr>
          <w:rFonts w:ascii="Times New Roman" w:hAnsi="Times New Roman"/>
          <w:i/>
          <w:iCs/>
          <w:sz w:val="20"/>
          <w:szCs w:val="20"/>
        </w:rPr>
        <w:t xml:space="preserve"> gruntsūdens monitorings </w:t>
      </w:r>
    </w:p>
    <w:p w14:paraId="7B348E55" w14:textId="0F02ADF4" w:rsidR="00812AA6" w:rsidRDefault="00812AA6" w:rsidP="00812AA6">
      <w:pPr>
        <w:jc w:val="right"/>
        <w:rPr>
          <w:rFonts w:ascii="Times New Roman" w:hAnsi="Times New Roman"/>
          <w:i/>
          <w:iCs/>
          <w:sz w:val="20"/>
          <w:szCs w:val="20"/>
        </w:rPr>
      </w:pPr>
      <w:r w:rsidRPr="00D72975">
        <w:rPr>
          <w:rFonts w:ascii="Times New Roman" w:hAnsi="Times New Roman"/>
          <w:i/>
          <w:iCs/>
          <w:sz w:val="20"/>
          <w:szCs w:val="20"/>
        </w:rPr>
        <w:t>sanācijas darbu teritorijā Dzintaru iel</w:t>
      </w:r>
      <w:r w:rsidR="00DF6F9E">
        <w:rPr>
          <w:rFonts w:ascii="Times New Roman" w:hAnsi="Times New Roman"/>
          <w:i/>
          <w:iCs/>
          <w:sz w:val="20"/>
          <w:szCs w:val="20"/>
        </w:rPr>
        <w:t>ā</w:t>
      </w:r>
      <w:r w:rsidRPr="00D72975">
        <w:rPr>
          <w:rFonts w:ascii="Times New Roman" w:hAnsi="Times New Roman"/>
          <w:i/>
          <w:iCs/>
          <w:sz w:val="20"/>
          <w:szCs w:val="20"/>
        </w:rPr>
        <w:t xml:space="preserve"> 68 (27000290133) </w:t>
      </w:r>
    </w:p>
    <w:p w14:paraId="2A454299" w14:textId="79C31B86" w:rsidR="00812AA6" w:rsidRPr="007B5E5B" w:rsidRDefault="00812AA6" w:rsidP="00812AA6">
      <w:pPr>
        <w:jc w:val="right"/>
        <w:rPr>
          <w:rFonts w:ascii="Times New Roman" w:hAnsi="Times New Roman"/>
          <w:i/>
          <w:iCs/>
          <w:sz w:val="20"/>
          <w:szCs w:val="20"/>
        </w:rPr>
      </w:pPr>
      <w:r w:rsidRPr="00D72975">
        <w:rPr>
          <w:rFonts w:ascii="Times New Roman" w:hAnsi="Times New Roman"/>
          <w:i/>
          <w:iCs/>
          <w:sz w:val="20"/>
          <w:szCs w:val="20"/>
        </w:rPr>
        <w:t>un Dzintaru iel</w:t>
      </w:r>
      <w:r w:rsidR="00DF6F9E">
        <w:rPr>
          <w:rFonts w:ascii="Times New Roman" w:hAnsi="Times New Roman"/>
          <w:i/>
          <w:iCs/>
          <w:sz w:val="20"/>
          <w:szCs w:val="20"/>
        </w:rPr>
        <w:t>ā</w:t>
      </w:r>
      <w:r w:rsidRPr="00D72975">
        <w:rPr>
          <w:rFonts w:ascii="Times New Roman" w:hAnsi="Times New Roman"/>
          <w:i/>
          <w:iCs/>
          <w:sz w:val="20"/>
          <w:szCs w:val="20"/>
        </w:rPr>
        <w:t xml:space="preserve"> 52C (27000290007</w:t>
      </w:r>
      <w:r w:rsidR="00114B60">
        <w:rPr>
          <w:rFonts w:ascii="Times New Roman" w:hAnsi="Times New Roman"/>
          <w:i/>
          <w:iCs/>
          <w:sz w:val="20"/>
          <w:szCs w:val="20"/>
        </w:rPr>
        <w:t>)</w:t>
      </w:r>
      <w:r w:rsidRPr="007B5E5B">
        <w:rPr>
          <w:rFonts w:ascii="Times New Roman" w:hAnsi="Times New Roman"/>
          <w:i/>
          <w:iCs/>
          <w:sz w:val="20"/>
          <w:szCs w:val="20"/>
        </w:rPr>
        <w:t xml:space="preserve">” </w:t>
      </w:r>
      <w:bookmarkEnd w:id="1"/>
    </w:p>
    <w:p w14:paraId="4D5781D0" w14:textId="25EA85C8" w:rsidR="00812AA6" w:rsidRDefault="00812AA6" w:rsidP="00812AA6">
      <w:pPr>
        <w:jc w:val="right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7B5E5B">
        <w:rPr>
          <w:rFonts w:ascii="Times New Roman" w:hAnsi="Times New Roman"/>
          <w:i/>
          <w:iCs/>
          <w:sz w:val="20"/>
          <w:szCs w:val="20"/>
        </w:rPr>
        <w:t xml:space="preserve">nolikumam, </w:t>
      </w:r>
      <w:r w:rsidRPr="007B5E5B">
        <w:rPr>
          <w:rFonts w:ascii="Times New Roman" w:hAnsi="Times New Roman"/>
          <w:i/>
          <w:iCs/>
          <w:color w:val="000000"/>
          <w:sz w:val="20"/>
          <w:szCs w:val="20"/>
        </w:rPr>
        <w:t>identifikācijas Nr. VBOP 2024/</w:t>
      </w:r>
      <w:r w:rsidR="002F428A">
        <w:rPr>
          <w:rFonts w:ascii="Times New Roman" w:hAnsi="Times New Roman"/>
          <w:i/>
          <w:iCs/>
          <w:color w:val="000000"/>
          <w:sz w:val="20"/>
          <w:szCs w:val="20"/>
        </w:rPr>
        <w:t>59</w:t>
      </w:r>
    </w:p>
    <w:p w14:paraId="747CCBB7" w14:textId="77777777" w:rsidR="00812AA6" w:rsidRPr="00812AA6" w:rsidRDefault="00812AA6" w:rsidP="00812AA6">
      <w:pPr>
        <w:jc w:val="right"/>
      </w:pPr>
    </w:p>
    <w:p w14:paraId="72F8DF01" w14:textId="3EAEA75D" w:rsidR="00EF4C5C" w:rsidRPr="007929B5" w:rsidRDefault="00EF4C5C" w:rsidP="00EF4C5C">
      <w:pPr>
        <w:pStyle w:val="Virsraksts2"/>
        <w:jc w:val="center"/>
        <w:rPr>
          <w:rFonts w:ascii="Times New Roman" w:hAnsi="Times New Roman" w:cs="Times New Roman"/>
          <w:b/>
          <w:bCs/>
          <w:color w:val="auto"/>
        </w:rPr>
      </w:pPr>
      <w:r w:rsidRPr="007929B5">
        <w:rPr>
          <w:rFonts w:ascii="Times New Roman" w:hAnsi="Times New Roman" w:cs="Times New Roman"/>
          <w:b/>
          <w:bCs/>
          <w:color w:val="auto"/>
        </w:rPr>
        <w:t>Darba uzdevums</w:t>
      </w:r>
    </w:p>
    <w:bookmarkEnd w:id="0"/>
    <w:p w14:paraId="761F387F" w14:textId="77777777" w:rsidR="00F00FF4" w:rsidRPr="007929B5" w:rsidRDefault="00F00FF4" w:rsidP="00EF4C5C">
      <w:pPr>
        <w:jc w:val="both"/>
        <w:rPr>
          <w:rFonts w:ascii="Times New Roman" w:hAnsi="Times New Roman"/>
          <w:b/>
          <w:bCs/>
        </w:rPr>
      </w:pPr>
    </w:p>
    <w:p w14:paraId="41E57332" w14:textId="0A87ADF7" w:rsidR="00114B60" w:rsidRPr="00105E9B" w:rsidRDefault="00114B60" w:rsidP="007D34A1">
      <w:pPr>
        <w:pStyle w:val="Sarakstarindkopa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105E9B">
        <w:rPr>
          <w:rFonts w:ascii="Times New Roman" w:hAnsi="Times New Roman"/>
          <w:b/>
          <w:bCs/>
          <w:sz w:val="24"/>
        </w:rPr>
        <w:t>Pasūtītājs</w:t>
      </w:r>
      <w:r w:rsidRPr="00105E9B">
        <w:rPr>
          <w:rFonts w:ascii="Times New Roman" w:hAnsi="Times New Roman"/>
          <w:sz w:val="24"/>
        </w:rPr>
        <w:t xml:space="preserve"> – Ventspils brīvostas pārvalde. </w:t>
      </w:r>
    </w:p>
    <w:p w14:paraId="1A812E24" w14:textId="0E1131FD" w:rsidR="00114B60" w:rsidRPr="00105E9B" w:rsidRDefault="00114B60" w:rsidP="007D34A1">
      <w:pPr>
        <w:pStyle w:val="Sarakstarindkopa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105E9B">
        <w:rPr>
          <w:rFonts w:ascii="Times New Roman" w:hAnsi="Times New Roman"/>
          <w:b/>
          <w:bCs/>
          <w:sz w:val="24"/>
        </w:rPr>
        <w:t>Objekta nosaukums</w:t>
      </w:r>
      <w:r w:rsidRPr="00105E9B">
        <w:rPr>
          <w:rFonts w:ascii="Times New Roman" w:hAnsi="Times New Roman"/>
          <w:sz w:val="24"/>
        </w:rPr>
        <w:t xml:space="preserve"> – </w:t>
      </w:r>
      <w:proofErr w:type="spellStart"/>
      <w:r w:rsidRPr="00105E9B">
        <w:rPr>
          <w:rFonts w:ascii="Times New Roman" w:hAnsi="Times New Roman"/>
          <w:sz w:val="24"/>
        </w:rPr>
        <w:t>Pēcsanācijas</w:t>
      </w:r>
      <w:proofErr w:type="spellEnd"/>
      <w:r w:rsidRPr="00105E9B">
        <w:rPr>
          <w:rFonts w:ascii="Times New Roman" w:hAnsi="Times New Roman"/>
          <w:sz w:val="24"/>
        </w:rPr>
        <w:t xml:space="preserve"> gruntsūdens monitorings sanācijas darbu teritorijā Dzintaru ielā 68 (27000290133) un Dzintaru ielā 52C (27000290007).</w:t>
      </w:r>
    </w:p>
    <w:p w14:paraId="7F0C00CD" w14:textId="43603C55" w:rsidR="00114B60" w:rsidRPr="00105E9B" w:rsidRDefault="00114B60" w:rsidP="007D34A1">
      <w:pPr>
        <w:pStyle w:val="Sarakstarindkopa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105E9B">
        <w:rPr>
          <w:rFonts w:ascii="Times New Roman" w:hAnsi="Times New Roman"/>
          <w:b/>
          <w:bCs/>
          <w:sz w:val="24"/>
        </w:rPr>
        <w:t>Darba mērķis</w:t>
      </w:r>
      <w:r w:rsidRPr="00105E9B">
        <w:rPr>
          <w:rFonts w:ascii="Times New Roman" w:hAnsi="Times New Roman"/>
          <w:sz w:val="24"/>
        </w:rPr>
        <w:t xml:space="preserve"> –</w:t>
      </w:r>
      <w:r w:rsidR="007D34A1" w:rsidRPr="00105E9B">
        <w:rPr>
          <w:rFonts w:ascii="Times New Roman" w:hAnsi="Times New Roman"/>
          <w:sz w:val="24"/>
        </w:rPr>
        <w:t xml:space="preserve"> </w:t>
      </w:r>
      <w:r w:rsidR="004D5275" w:rsidRPr="004D5275">
        <w:rPr>
          <w:rFonts w:ascii="Times New Roman" w:hAnsi="Times New Roman"/>
          <w:sz w:val="24"/>
        </w:rPr>
        <w:t>Ilgtermiņa vides kvalitātes kontrole sanācijas objekta teritorijā, izmantojot iepriekš ierīkotu monitoringa aku tīklu</w:t>
      </w:r>
      <w:r w:rsidRPr="00105E9B">
        <w:rPr>
          <w:rFonts w:ascii="Times New Roman" w:hAnsi="Times New Roman"/>
          <w:sz w:val="24"/>
        </w:rPr>
        <w:t>.</w:t>
      </w:r>
    </w:p>
    <w:p w14:paraId="23682F93" w14:textId="0B627EC6" w:rsidR="00114B60" w:rsidRPr="00105E9B" w:rsidRDefault="00105E9B" w:rsidP="007D34A1">
      <w:pPr>
        <w:pStyle w:val="Sarakstarindkopa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Vispārīgā informācija</w:t>
      </w:r>
      <w:r w:rsidR="00114B60" w:rsidRPr="00105E9B">
        <w:rPr>
          <w:rFonts w:ascii="Times New Roman" w:hAnsi="Times New Roman"/>
          <w:b/>
          <w:bCs/>
          <w:sz w:val="24"/>
        </w:rPr>
        <w:t>:</w:t>
      </w:r>
    </w:p>
    <w:p w14:paraId="6EF5E793" w14:textId="064F35A5" w:rsidR="00114B60" w:rsidRDefault="00114B60" w:rsidP="007D34A1">
      <w:pPr>
        <w:pStyle w:val="Sarakstarindkopa"/>
        <w:numPr>
          <w:ilvl w:val="1"/>
          <w:numId w:val="6"/>
        </w:numPr>
        <w:jc w:val="both"/>
        <w:rPr>
          <w:rFonts w:ascii="Times New Roman" w:hAnsi="Times New Roman"/>
          <w:sz w:val="24"/>
        </w:rPr>
      </w:pPr>
      <w:r w:rsidRPr="00105E9B">
        <w:rPr>
          <w:rFonts w:ascii="Times New Roman" w:hAnsi="Times New Roman"/>
          <w:sz w:val="24"/>
        </w:rPr>
        <w:t xml:space="preserve">Gatavojot piedāvājumu un izmaksu aprēķinu vadīties pēc </w:t>
      </w:r>
      <w:r w:rsidR="0042512A">
        <w:rPr>
          <w:rFonts w:ascii="Times New Roman" w:hAnsi="Times New Roman"/>
          <w:sz w:val="24"/>
        </w:rPr>
        <w:t>darbu programmas</w:t>
      </w:r>
      <w:r w:rsidRPr="00105E9B">
        <w:rPr>
          <w:rFonts w:ascii="Times New Roman" w:hAnsi="Times New Roman"/>
          <w:sz w:val="24"/>
        </w:rPr>
        <w:t xml:space="preserve"> (Pielikums Nr.</w:t>
      </w:r>
      <w:r w:rsidR="00264E7D" w:rsidRPr="00105E9B">
        <w:rPr>
          <w:rFonts w:ascii="Times New Roman" w:hAnsi="Times New Roman"/>
          <w:sz w:val="24"/>
        </w:rPr>
        <w:t>6</w:t>
      </w:r>
      <w:r w:rsidRPr="00105E9B">
        <w:rPr>
          <w:rFonts w:ascii="Times New Roman" w:hAnsi="Times New Roman"/>
          <w:sz w:val="24"/>
        </w:rPr>
        <w:t>).</w:t>
      </w:r>
    </w:p>
    <w:p w14:paraId="6D7452C3" w14:textId="59AEF958" w:rsidR="00105E9B" w:rsidRPr="0042512A" w:rsidRDefault="00105E9B" w:rsidP="00234C9B">
      <w:pPr>
        <w:pStyle w:val="Sarakstarindkopa"/>
        <w:numPr>
          <w:ilvl w:val="1"/>
          <w:numId w:val="6"/>
        </w:numPr>
        <w:jc w:val="both"/>
        <w:rPr>
          <w:rFonts w:ascii="Times New Roman" w:hAnsi="Times New Roman"/>
          <w:sz w:val="24"/>
        </w:rPr>
      </w:pPr>
      <w:r w:rsidRPr="0042512A">
        <w:rPr>
          <w:rFonts w:ascii="Times New Roman" w:hAnsi="Times New Roman"/>
          <w:sz w:val="24"/>
        </w:rPr>
        <w:t xml:space="preserve">Darbi jāveic </w:t>
      </w:r>
      <w:r w:rsidR="0042512A" w:rsidRPr="0042512A">
        <w:rPr>
          <w:rFonts w:ascii="Times New Roman" w:hAnsi="Times New Roman"/>
          <w:sz w:val="24"/>
        </w:rPr>
        <w:t xml:space="preserve">saskaņā ar </w:t>
      </w:r>
      <w:r w:rsidR="0042512A">
        <w:rPr>
          <w:rFonts w:ascii="Times New Roman" w:hAnsi="Times New Roman"/>
          <w:sz w:val="24"/>
        </w:rPr>
        <w:t>AS “</w:t>
      </w:r>
      <w:proofErr w:type="spellStart"/>
      <w:r w:rsidR="0042512A">
        <w:rPr>
          <w:rFonts w:ascii="Times New Roman" w:hAnsi="Times New Roman"/>
          <w:sz w:val="24"/>
        </w:rPr>
        <w:t>VentEko</w:t>
      </w:r>
      <w:proofErr w:type="spellEnd"/>
      <w:r w:rsidR="0042512A">
        <w:rPr>
          <w:rFonts w:ascii="Times New Roman" w:hAnsi="Times New Roman"/>
          <w:sz w:val="24"/>
        </w:rPr>
        <w:t xml:space="preserve">” izstrādāto </w:t>
      </w:r>
      <w:r w:rsidR="0042512A" w:rsidRPr="0042512A">
        <w:rPr>
          <w:rFonts w:ascii="Times New Roman" w:hAnsi="Times New Roman"/>
          <w:sz w:val="24"/>
        </w:rPr>
        <w:t>Darbu programm</w:t>
      </w:r>
      <w:r w:rsidR="0042512A">
        <w:rPr>
          <w:rFonts w:ascii="Times New Roman" w:hAnsi="Times New Roman"/>
          <w:sz w:val="24"/>
        </w:rPr>
        <w:t>u</w:t>
      </w:r>
      <w:r w:rsidR="0042512A" w:rsidRPr="0042512A">
        <w:rPr>
          <w:rFonts w:ascii="Times New Roman" w:hAnsi="Times New Roman"/>
          <w:sz w:val="24"/>
        </w:rPr>
        <w:t xml:space="preserve"> </w:t>
      </w:r>
      <w:proofErr w:type="spellStart"/>
      <w:r w:rsidR="0042512A" w:rsidRPr="0042512A">
        <w:rPr>
          <w:rFonts w:ascii="Times New Roman" w:hAnsi="Times New Roman"/>
          <w:sz w:val="24"/>
        </w:rPr>
        <w:t>pēcsanācijas</w:t>
      </w:r>
      <w:proofErr w:type="spellEnd"/>
      <w:r w:rsidR="0042512A" w:rsidRPr="0042512A">
        <w:rPr>
          <w:rFonts w:ascii="Times New Roman" w:hAnsi="Times New Roman"/>
          <w:sz w:val="24"/>
        </w:rPr>
        <w:t xml:space="preserve"> monitoringa aku tīkla ierīkošanai un monitoringam sanācijas darbu teritorijā Dzintaru iela 68 (27000290133)</w:t>
      </w:r>
      <w:r w:rsidR="0042512A">
        <w:rPr>
          <w:rFonts w:ascii="Times New Roman" w:hAnsi="Times New Roman"/>
          <w:sz w:val="24"/>
        </w:rPr>
        <w:t xml:space="preserve"> </w:t>
      </w:r>
      <w:r w:rsidR="0042512A" w:rsidRPr="0042512A">
        <w:rPr>
          <w:rFonts w:ascii="Times New Roman" w:hAnsi="Times New Roman"/>
          <w:sz w:val="24"/>
        </w:rPr>
        <w:t>un Dzintaru iela 52C (27000290007), Ventspilī</w:t>
      </w:r>
      <w:r w:rsidR="0042512A">
        <w:rPr>
          <w:rFonts w:ascii="Times New Roman" w:hAnsi="Times New Roman"/>
          <w:sz w:val="24"/>
        </w:rPr>
        <w:t>.</w:t>
      </w:r>
    </w:p>
    <w:p w14:paraId="038948DD" w14:textId="77777777" w:rsidR="00105E9B" w:rsidRPr="00105E9B" w:rsidRDefault="00105E9B" w:rsidP="00105E9B">
      <w:pPr>
        <w:pStyle w:val="Sarakstarindkopa"/>
        <w:numPr>
          <w:ilvl w:val="1"/>
          <w:numId w:val="6"/>
        </w:numPr>
        <w:jc w:val="both"/>
        <w:rPr>
          <w:rFonts w:ascii="Times New Roman" w:hAnsi="Times New Roman"/>
          <w:b/>
          <w:bCs/>
          <w:sz w:val="24"/>
        </w:rPr>
      </w:pPr>
      <w:r w:rsidRPr="00105E9B">
        <w:rPr>
          <w:rFonts w:ascii="Times New Roman" w:hAnsi="Times New Roman"/>
          <w:sz w:val="24"/>
        </w:rPr>
        <w:t>Monitoringa darbu izpilde veicama tikai Pasūtītāja pārstāvja klātbūtnē. Izpildītājs saskaņo ar Pasūtītāja pārstāvi darbu izpildes laiku vismaz 5 (piecas) darba dienas pirms plānotās darbu izpildes.</w:t>
      </w:r>
    </w:p>
    <w:p w14:paraId="2E09301C" w14:textId="1E677F3F" w:rsidR="00114B60" w:rsidRPr="00105E9B" w:rsidRDefault="00737622" w:rsidP="007D34A1">
      <w:pPr>
        <w:pStyle w:val="Sarakstarindkopa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4"/>
        </w:rPr>
      </w:pPr>
      <w:r w:rsidRPr="00105E9B">
        <w:rPr>
          <w:rFonts w:ascii="Times New Roman" w:hAnsi="Times New Roman"/>
          <w:b/>
          <w:bCs/>
          <w:sz w:val="24"/>
        </w:rPr>
        <w:t>Darba izpildes termiņš</w:t>
      </w:r>
      <w:r w:rsidR="00114B60" w:rsidRPr="00105E9B">
        <w:rPr>
          <w:rFonts w:ascii="Times New Roman" w:hAnsi="Times New Roman"/>
          <w:b/>
          <w:bCs/>
          <w:sz w:val="24"/>
        </w:rPr>
        <w:t>.</w:t>
      </w:r>
    </w:p>
    <w:p w14:paraId="00669086" w14:textId="34189DD1" w:rsidR="00114B60" w:rsidRPr="00105E9B" w:rsidRDefault="00737622" w:rsidP="007D34A1">
      <w:pPr>
        <w:pStyle w:val="Sarakstarindkopa"/>
        <w:numPr>
          <w:ilvl w:val="1"/>
          <w:numId w:val="6"/>
        </w:numPr>
        <w:jc w:val="both"/>
        <w:rPr>
          <w:rFonts w:ascii="Times New Roman" w:hAnsi="Times New Roman"/>
          <w:sz w:val="24"/>
        </w:rPr>
      </w:pPr>
      <w:r w:rsidRPr="00105E9B">
        <w:rPr>
          <w:rFonts w:ascii="Times New Roman" w:hAnsi="Times New Roman"/>
          <w:sz w:val="24"/>
        </w:rPr>
        <w:t xml:space="preserve">Plānotais </w:t>
      </w:r>
      <w:proofErr w:type="spellStart"/>
      <w:r w:rsidRPr="00105E9B">
        <w:rPr>
          <w:rFonts w:ascii="Times New Roman" w:hAnsi="Times New Roman"/>
          <w:sz w:val="24"/>
        </w:rPr>
        <w:t>pēcsanācijas</w:t>
      </w:r>
      <w:proofErr w:type="spellEnd"/>
      <w:r w:rsidRPr="00105E9B">
        <w:rPr>
          <w:rFonts w:ascii="Times New Roman" w:hAnsi="Times New Roman"/>
          <w:sz w:val="24"/>
        </w:rPr>
        <w:t xml:space="preserve"> monitoringa ilgums ir 5 gadi: orientējoši no 2024. gada 1.</w:t>
      </w:r>
      <w:r w:rsidR="00264E7D" w:rsidRPr="00105E9B">
        <w:rPr>
          <w:rFonts w:ascii="Times New Roman" w:hAnsi="Times New Roman"/>
          <w:sz w:val="24"/>
        </w:rPr>
        <w:t>septembra</w:t>
      </w:r>
      <w:r w:rsidRPr="00105E9B">
        <w:rPr>
          <w:rFonts w:ascii="Times New Roman" w:hAnsi="Times New Roman"/>
          <w:sz w:val="24"/>
        </w:rPr>
        <w:t xml:space="preserve"> līdz 2029. gada 30.jūnijam, pavisam realizējot 7 monitoringa ciklus, attiecīgi visu piecu gadu garumā veicot GŪ paraugu noņemšanu katru gadu 1 reizi laika posmā no 1.janvāra līdz 30.jūnijam, bet </w:t>
      </w:r>
      <w:proofErr w:type="spellStart"/>
      <w:r w:rsidRPr="00105E9B">
        <w:rPr>
          <w:rFonts w:ascii="Times New Roman" w:hAnsi="Times New Roman"/>
          <w:sz w:val="24"/>
        </w:rPr>
        <w:t>pēcsanācijas</w:t>
      </w:r>
      <w:proofErr w:type="spellEnd"/>
      <w:r w:rsidRPr="00105E9B">
        <w:rPr>
          <w:rFonts w:ascii="Times New Roman" w:hAnsi="Times New Roman"/>
          <w:sz w:val="24"/>
        </w:rPr>
        <w:t xml:space="preserve"> monitoringa pirmajos gados 2 (2024.gads un 2025.gads) papildus veicot GŪL un NP mērījumus 1 reizi laika posmā no 1.jūlija līdz 31.decembrim.</w:t>
      </w:r>
    </w:p>
    <w:p w14:paraId="653CE9F2" w14:textId="77777777" w:rsidR="00264E7D" w:rsidRPr="00105E9B" w:rsidRDefault="00264E7D" w:rsidP="00264E7D">
      <w:pPr>
        <w:pStyle w:val="Tabulasnosaukums"/>
        <w:spacing w:after="0"/>
        <w:jc w:val="left"/>
        <w:rPr>
          <w:rFonts w:ascii="Times New Roman" w:hAnsi="Times New Roman"/>
          <w:sz w:val="24"/>
        </w:rPr>
      </w:pPr>
    </w:p>
    <w:p w14:paraId="7E4F9D0D" w14:textId="104C96AB" w:rsidR="00264E7D" w:rsidRPr="00105E9B" w:rsidRDefault="00264E7D" w:rsidP="00264E7D">
      <w:pPr>
        <w:pStyle w:val="Tabulasnosaukums"/>
        <w:spacing w:after="0"/>
        <w:jc w:val="left"/>
        <w:rPr>
          <w:rFonts w:ascii="Times New Roman" w:hAnsi="Times New Roman"/>
          <w:sz w:val="24"/>
        </w:rPr>
      </w:pPr>
      <w:r w:rsidRPr="00105E9B">
        <w:rPr>
          <w:rFonts w:ascii="Times New Roman" w:hAnsi="Times New Roman"/>
          <w:sz w:val="24"/>
        </w:rPr>
        <w:t>Monitoringa aktivitāšu laika grafiks</w:t>
      </w:r>
    </w:p>
    <w:p w14:paraId="4F48F555" w14:textId="77777777" w:rsidR="00264E7D" w:rsidRPr="00105E9B" w:rsidRDefault="00264E7D" w:rsidP="00264E7D">
      <w:pPr>
        <w:rPr>
          <w:rFonts w:ascii="Times New Roman" w:hAnsi="Times New Roman"/>
          <w:sz w:val="24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4393"/>
        <w:gridCol w:w="634"/>
        <w:gridCol w:w="632"/>
        <w:gridCol w:w="633"/>
        <w:gridCol w:w="633"/>
        <w:gridCol w:w="632"/>
        <w:gridCol w:w="633"/>
        <w:gridCol w:w="632"/>
      </w:tblGrid>
      <w:tr w:rsidR="00F95ED7" w:rsidRPr="00105E9B" w14:paraId="09168B4F" w14:textId="77777777" w:rsidTr="00F95ED7">
        <w:trPr>
          <w:cantSplit/>
          <w:trHeight w:val="1864"/>
          <w:jc w:val="center"/>
        </w:trPr>
        <w:tc>
          <w:tcPr>
            <w:tcW w:w="4794" w:type="dxa"/>
            <w:shd w:val="clear" w:color="auto" w:fill="002060"/>
          </w:tcPr>
          <w:p w14:paraId="3CF8903A" w14:textId="77777777" w:rsidR="00264E7D" w:rsidRPr="00105E9B" w:rsidRDefault="00264E7D" w:rsidP="00E759B1">
            <w:pPr>
              <w:rPr>
                <w:b/>
                <w:bCs/>
                <w:sz w:val="24"/>
              </w:rPr>
            </w:pPr>
            <w:r w:rsidRPr="00105E9B">
              <w:rPr>
                <w:b/>
                <w:bCs/>
                <w:sz w:val="24"/>
              </w:rPr>
              <w:t>Aktivitāte</w:t>
            </w:r>
          </w:p>
        </w:tc>
        <w:tc>
          <w:tcPr>
            <w:tcW w:w="652" w:type="dxa"/>
            <w:shd w:val="clear" w:color="auto" w:fill="002060"/>
            <w:textDirection w:val="btLr"/>
          </w:tcPr>
          <w:p w14:paraId="26C1CC73" w14:textId="180176C1" w:rsidR="00264E7D" w:rsidRPr="00105E9B" w:rsidRDefault="00F95ED7" w:rsidP="00F95ED7">
            <w:pPr>
              <w:ind w:left="113" w:right="113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20</w:t>
            </w:r>
            <w:r w:rsidRPr="007929B5">
              <w:rPr>
                <w:b/>
                <w:bCs/>
              </w:rPr>
              <w:t>24</w:t>
            </w:r>
            <w:r>
              <w:rPr>
                <w:b/>
                <w:bCs/>
              </w:rPr>
              <w:t>.gads (līdz 31.12)/</w:t>
            </w:r>
            <w:r w:rsidR="00264E7D" w:rsidRPr="00105E9B">
              <w:rPr>
                <w:b/>
                <w:bCs/>
                <w:sz w:val="24"/>
              </w:rPr>
              <w:t>24-II</w:t>
            </w:r>
          </w:p>
        </w:tc>
        <w:tc>
          <w:tcPr>
            <w:tcW w:w="650" w:type="dxa"/>
            <w:shd w:val="clear" w:color="auto" w:fill="002060"/>
            <w:textDirection w:val="btLr"/>
          </w:tcPr>
          <w:p w14:paraId="73CD2746" w14:textId="69EE2526" w:rsidR="00264E7D" w:rsidRPr="00105E9B" w:rsidRDefault="00F95ED7" w:rsidP="00F95ED7">
            <w:pPr>
              <w:ind w:left="113" w:right="113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20</w:t>
            </w:r>
            <w:r w:rsidRPr="007929B5">
              <w:rPr>
                <w:b/>
                <w:bCs/>
              </w:rPr>
              <w:t>25</w:t>
            </w:r>
            <w:r>
              <w:rPr>
                <w:b/>
                <w:bCs/>
              </w:rPr>
              <w:t>.gads (01.01.-30.06)/</w:t>
            </w:r>
            <w:r w:rsidR="00264E7D" w:rsidRPr="00105E9B">
              <w:rPr>
                <w:b/>
                <w:bCs/>
                <w:sz w:val="24"/>
              </w:rPr>
              <w:t>25-I</w:t>
            </w:r>
          </w:p>
        </w:tc>
        <w:tc>
          <w:tcPr>
            <w:tcW w:w="651" w:type="dxa"/>
            <w:shd w:val="clear" w:color="auto" w:fill="002060"/>
            <w:textDirection w:val="btLr"/>
          </w:tcPr>
          <w:p w14:paraId="20689DEB" w14:textId="314CCC77" w:rsidR="00264E7D" w:rsidRPr="00105E9B" w:rsidRDefault="00F95ED7" w:rsidP="00F95ED7">
            <w:pPr>
              <w:ind w:left="113" w:right="113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20</w:t>
            </w:r>
            <w:r w:rsidRPr="007929B5">
              <w:rPr>
                <w:b/>
                <w:bCs/>
              </w:rPr>
              <w:t>25</w:t>
            </w:r>
            <w:r>
              <w:rPr>
                <w:b/>
                <w:bCs/>
              </w:rPr>
              <w:t>.gads (01.07.-31.12)/</w:t>
            </w:r>
            <w:r w:rsidR="00264E7D" w:rsidRPr="00105E9B">
              <w:rPr>
                <w:b/>
                <w:bCs/>
                <w:sz w:val="24"/>
              </w:rPr>
              <w:t>25-II</w:t>
            </w:r>
          </w:p>
        </w:tc>
        <w:tc>
          <w:tcPr>
            <w:tcW w:w="651" w:type="dxa"/>
            <w:shd w:val="clear" w:color="auto" w:fill="002060"/>
            <w:textDirection w:val="btLr"/>
          </w:tcPr>
          <w:p w14:paraId="687F1304" w14:textId="7F53F4B6" w:rsidR="00264E7D" w:rsidRPr="00105E9B" w:rsidRDefault="00F95ED7" w:rsidP="00F95ED7">
            <w:pPr>
              <w:ind w:left="113" w:right="113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20</w:t>
            </w:r>
            <w:r w:rsidRPr="007929B5">
              <w:rPr>
                <w:b/>
                <w:bCs/>
              </w:rPr>
              <w:t>26</w:t>
            </w:r>
            <w:r>
              <w:rPr>
                <w:b/>
                <w:bCs/>
              </w:rPr>
              <w:t>.gads (01.01.-30.06)/</w:t>
            </w:r>
            <w:r w:rsidR="00264E7D" w:rsidRPr="00105E9B">
              <w:rPr>
                <w:b/>
                <w:bCs/>
                <w:sz w:val="24"/>
              </w:rPr>
              <w:t>26-I</w:t>
            </w:r>
          </w:p>
        </w:tc>
        <w:tc>
          <w:tcPr>
            <w:tcW w:w="650" w:type="dxa"/>
            <w:shd w:val="clear" w:color="auto" w:fill="002060"/>
            <w:textDirection w:val="btLr"/>
          </w:tcPr>
          <w:p w14:paraId="6E0967B4" w14:textId="7FB470A8" w:rsidR="00264E7D" w:rsidRPr="00105E9B" w:rsidRDefault="00F95ED7" w:rsidP="00F95ED7">
            <w:pPr>
              <w:ind w:left="113" w:right="113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20</w:t>
            </w:r>
            <w:r w:rsidRPr="007929B5">
              <w:rPr>
                <w:b/>
                <w:bCs/>
              </w:rPr>
              <w:t>27</w:t>
            </w:r>
            <w:r>
              <w:rPr>
                <w:b/>
                <w:bCs/>
              </w:rPr>
              <w:t>.gads (01.01.-30.06)/</w:t>
            </w:r>
            <w:r w:rsidR="00264E7D" w:rsidRPr="00105E9B">
              <w:rPr>
                <w:b/>
                <w:bCs/>
                <w:sz w:val="24"/>
              </w:rPr>
              <w:t>27-I</w:t>
            </w:r>
          </w:p>
        </w:tc>
        <w:tc>
          <w:tcPr>
            <w:tcW w:w="651" w:type="dxa"/>
            <w:shd w:val="clear" w:color="auto" w:fill="002060"/>
            <w:textDirection w:val="btLr"/>
          </w:tcPr>
          <w:p w14:paraId="79DC49C4" w14:textId="38B24109" w:rsidR="00264E7D" w:rsidRPr="00105E9B" w:rsidRDefault="00F95ED7" w:rsidP="00F95ED7">
            <w:pPr>
              <w:ind w:left="113" w:right="113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20</w:t>
            </w:r>
            <w:r w:rsidRPr="007929B5">
              <w:rPr>
                <w:b/>
                <w:bCs/>
              </w:rPr>
              <w:t>28</w:t>
            </w:r>
            <w:r>
              <w:rPr>
                <w:b/>
                <w:bCs/>
              </w:rPr>
              <w:t>.gads (01.01.-30.06)/</w:t>
            </w:r>
            <w:r w:rsidR="00264E7D" w:rsidRPr="00105E9B">
              <w:rPr>
                <w:b/>
                <w:bCs/>
                <w:sz w:val="24"/>
              </w:rPr>
              <w:t>28-I</w:t>
            </w:r>
          </w:p>
        </w:tc>
        <w:tc>
          <w:tcPr>
            <w:tcW w:w="650" w:type="dxa"/>
            <w:shd w:val="clear" w:color="auto" w:fill="002060"/>
            <w:textDirection w:val="btLr"/>
          </w:tcPr>
          <w:p w14:paraId="1306DB44" w14:textId="17897E4D" w:rsidR="00264E7D" w:rsidRPr="00105E9B" w:rsidRDefault="00F95ED7" w:rsidP="00F95ED7">
            <w:pPr>
              <w:ind w:left="113" w:right="113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20</w:t>
            </w:r>
            <w:r w:rsidRPr="007929B5">
              <w:rPr>
                <w:b/>
                <w:bCs/>
              </w:rPr>
              <w:t>29</w:t>
            </w:r>
            <w:r>
              <w:rPr>
                <w:b/>
                <w:bCs/>
              </w:rPr>
              <w:t>.gads (01.01.-30.06)/</w:t>
            </w:r>
            <w:r w:rsidR="00264E7D" w:rsidRPr="00105E9B">
              <w:rPr>
                <w:b/>
                <w:bCs/>
                <w:sz w:val="24"/>
              </w:rPr>
              <w:t>29-I</w:t>
            </w:r>
          </w:p>
        </w:tc>
      </w:tr>
      <w:tr w:rsidR="00F95ED7" w:rsidRPr="00105E9B" w14:paraId="20691339" w14:textId="77777777" w:rsidTr="00E759B1">
        <w:trPr>
          <w:jc w:val="center"/>
        </w:trPr>
        <w:tc>
          <w:tcPr>
            <w:tcW w:w="4794" w:type="dxa"/>
          </w:tcPr>
          <w:p w14:paraId="40EB13BD" w14:textId="77777777" w:rsidR="00264E7D" w:rsidRPr="00105E9B" w:rsidRDefault="00264E7D" w:rsidP="00E759B1">
            <w:pPr>
              <w:rPr>
                <w:i/>
                <w:iCs/>
                <w:sz w:val="24"/>
              </w:rPr>
            </w:pPr>
            <w:proofErr w:type="spellStart"/>
            <w:r w:rsidRPr="00105E9B">
              <w:rPr>
                <w:i/>
                <w:iCs/>
                <w:sz w:val="24"/>
              </w:rPr>
              <w:t>Mon</w:t>
            </w:r>
            <w:proofErr w:type="spellEnd"/>
            <w:r w:rsidRPr="00105E9B">
              <w:rPr>
                <w:i/>
                <w:iCs/>
                <w:sz w:val="24"/>
              </w:rPr>
              <w:t xml:space="preserve">. aku </w:t>
            </w:r>
            <w:proofErr w:type="spellStart"/>
            <w:r w:rsidRPr="00105E9B">
              <w:rPr>
                <w:i/>
                <w:iCs/>
                <w:sz w:val="24"/>
              </w:rPr>
              <w:t>tehn</w:t>
            </w:r>
            <w:proofErr w:type="spellEnd"/>
            <w:r w:rsidRPr="00105E9B">
              <w:rPr>
                <w:i/>
                <w:iCs/>
                <w:sz w:val="24"/>
              </w:rPr>
              <w:t>. stāvokļa apsekošana 20 gab.</w:t>
            </w:r>
          </w:p>
        </w:tc>
        <w:tc>
          <w:tcPr>
            <w:tcW w:w="652" w:type="dxa"/>
            <w:shd w:val="clear" w:color="auto" w:fill="B3E5A1" w:themeFill="accent6" w:themeFillTint="66"/>
          </w:tcPr>
          <w:p w14:paraId="156122CA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0" w:type="dxa"/>
            <w:shd w:val="clear" w:color="auto" w:fill="B3E5A1" w:themeFill="accent6" w:themeFillTint="66"/>
          </w:tcPr>
          <w:p w14:paraId="4A804CCA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1" w:type="dxa"/>
            <w:shd w:val="clear" w:color="auto" w:fill="B3E5A1" w:themeFill="accent6" w:themeFillTint="66"/>
          </w:tcPr>
          <w:p w14:paraId="370EBE12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1" w:type="dxa"/>
            <w:shd w:val="clear" w:color="auto" w:fill="B3E5A1" w:themeFill="accent6" w:themeFillTint="66"/>
          </w:tcPr>
          <w:p w14:paraId="4B9E8677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0" w:type="dxa"/>
            <w:shd w:val="clear" w:color="auto" w:fill="B3E5A1" w:themeFill="accent6" w:themeFillTint="66"/>
          </w:tcPr>
          <w:p w14:paraId="1B99597A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1" w:type="dxa"/>
            <w:shd w:val="clear" w:color="auto" w:fill="B3E5A1" w:themeFill="accent6" w:themeFillTint="66"/>
          </w:tcPr>
          <w:p w14:paraId="650A536B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0" w:type="dxa"/>
            <w:shd w:val="clear" w:color="auto" w:fill="B3E5A1" w:themeFill="accent6" w:themeFillTint="66"/>
          </w:tcPr>
          <w:p w14:paraId="582F0F41" w14:textId="77777777" w:rsidR="00264E7D" w:rsidRPr="00105E9B" w:rsidRDefault="00264E7D" w:rsidP="00E759B1">
            <w:pPr>
              <w:rPr>
                <w:sz w:val="24"/>
              </w:rPr>
            </w:pPr>
          </w:p>
        </w:tc>
      </w:tr>
      <w:tr w:rsidR="00F95ED7" w:rsidRPr="00105E9B" w14:paraId="5737433F" w14:textId="77777777" w:rsidTr="00E759B1">
        <w:trPr>
          <w:jc w:val="center"/>
        </w:trPr>
        <w:tc>
          <w:tcPr>
            <w:tcW w:w="4794" w:type="dxa"/>
          </w:tcPr>
          <w:p w14:paraId="7A1326AE" w14:textId="77777777" w:rsidR="00264E7D" w:rsidRPr="00105E9B" w:rsidRDefault="00264E7D" w:rsidP="00E759B1">
            <w:pPr>
              <w:rPr>
                <w:i/>
                <w:iCs/>
                <w:sz w:val="24"/>
              </w:rPr>
            </w:pPr>
            <w:r w:rsidRPr="00105E9B">
              <w:rPr>
                <w:i/>
                <w:iCs/>
                <w:sz w:val="24"/>
              </w:rPr>
              <w:t>GŪL un NP mērījumi 20 gab.</w:t>
            </w:r>
          </w:p>
        </w:tc>
        <w:tc>
          <w:tcPr>
            <w:tcW w:w="652" w:type="dxa"/>
            <w:shd w:val="clear" w:color="auto" w:fill="B3E5A1" w:themeFill="accent6" w:themeFillTint="66"/>
          </w:tcPr>
          <w:p w14:paraId="4BBFCB29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0" w:type="dxa"/>
            <w:shd w:val="clear" w:color="auto" w:fill="B3E5A1" w:themeFill="accent6" w:themeFillTint="66"/>
          </w:tcPr>
          <w:p w14:paraId="17E1B7BE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1" w:type="dxa"/>
            <w:shd w:val="clear" w:color="auto" w:fill="B3E5A1" w:themeFill="accent6" w:themeFillTint="66"/>
          </w:tcPr>
          <w:p w14:paraId="4952B151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1" w:type="dxa"/>
            <w:shd w:val="clear" w:color="auto" w:fill="B3E5A1" w:themeFill="accent6" w:themeFillTint="66"/>
          </w:tcPr>
          <w:p w14:paraId="04693A3C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0" w:type="dxa"/>
            <w:shd w:val="clear" w:color="auto" w:fill="B3E5A1" w:themeFill="accent6" w:themeFillTint="66"/>
          </w:tcPr>
          <w:p w14:paraId="53EBC00D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1" w:type="dxa"/>
            <w:shd w:val="clear" w:color="auto" w:fill="B3E5A1" w:themeFill="accent6" w:themeFillTint="66"/>
          </w:tcPr>
          <w:p w14:paraId="16338BAA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0" w:type="dxa"/>
            <w:shd w:val="clear" w:color="auto" w:fill="B3E5A1" w:themeFill="accent6" w:themeFillTint="66"/>
          </w:tcPr>
          <w:p w14:paraId="5281C389" w14:textId="77777777" w:rsidR="00264E7D" w:rsidRPr="00105E9B" w:rsidRDefault="00264E7D" w:rsidP="00E759B1">
            <w:pPr>
              <w:rPr>
                <w:sz w:val="24"/>
              </w:rPr>
            </w:pPr>
          </w:p>
        </w:tc>
      </w:tr>
      <w:tr w:rsidR="00F95ED7" w:rsidRPr="00105E9B" w14:paraId="19A77340" w14:textId="77777777" w:rsidTr="00E759B1">
        <w:trPr>
          <w:jc w:val="center"/>
        </w:trPr>
        <w:tc>
          <w:tcPr>
            <w:tcW w:w="4794" w:type="dxa"/>
          </w:tcPr>
          <w:p w14:paraId="7E1BB7FA" w14:textId="77777777" w:rsidR="00264E7D" w:rsidRPr="00105E9B" w:rsidRDefault="00264E7D" w:rsidP="00E759B1">
            <w:pPr>
              <w:rPr>
                <w:i/>
                <w:iCs/>
                <w:sz w:val="24"/>
              </w:rPr>
            </w:pPr>
            <w:r w:rsidRPr="00105E9B">
              <w:rPr>
                <w:i/>
                <w:iCs/>
                <w:sz w:val="24"/>
              </w:rPr>
              <w:t xml:space="preserve">GŪ </w:t>
            </w:r>
            <w:proofErr w:type="spellStart"/>
            <w:r w:rsidRPr="00105E9B">
              <w:rPr>
                <w:i/>
                <w:iCs/>
                <w:sz w:val="24"/>
              </w:rPr>
              <w:t>hidroķīmisko</w:t>
            </w:r>
            <w:proofErr w:type="spellEnd"/>
            <w:r w:rsidRPr="00105E9B">
              <w:rPr>
                <w:i/>
                <w:iCs/>
                <w:sz w:val="24"/>
              </w:rPr>
              <w:t xml:space="preserve"> parametru mērījumi 20 gab.</w:t>
            </w:r>
          </w:p>
        </w:tc>
        <w:tc>
          <w:tcPr>
            <w:tcW w:w="652" w:type="dxa"/>
          </w:tcPr>
          <w:p w14:paraId="086DE7D6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0" w:type="dxa"/>
            <w:shd w:val="clear" w:color="auto" w:fill="B3E5A1" w:themeFill="accent6" w:themeFillTint="66"/>
          </w:tcPr>
          <w:p w14:paraId="7B63B383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1" w:type="dxa"/>
          </w:tcPr>
          <w:p w14:paraId="3AEAA053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1" w:type="dxa"/>
            <w:shd w:val="clear" w:color="auto" w:fill="B3E5A1" w:themeFill="accent6" w:themeFillTint="66"/>
          </w:tcPr>
          <w:p w14:paraId="5615742E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0" w:type="dxa"/>
            <w:shd w:val="clear" w:color="auto" w:fill="B3E5A1" w:themeFill="accent6" w:themeFillTint="66"/>
          </w:tcPr>
          <w:p w14:paraId="1016F55C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1" w:type="dxa"/>
            <w:shd w:val="clear" w:color="auto" w:fill="B3E5A1" w:themeFill="accent6" w:themeFillTint="66"/>
          </w:tcPr>
          <w:p w14:paraId="5BCF8C6F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0" w:type="dxa"/>
            <w:shd w:val="clear" w:color="auto" w:fill="B3E5A1" w:themeFill="accent6" w:themeFillTint="66"/>
          </w:tcPr>
          <w:p w14:paraId="444B5923" w14:textId="77777777" w:rsidR="00264E7D" w:rsidRPr="00105E9B" w:rsidRDefault="00264E7D" w:rsidP="00E759B1">
            <w:pPr>
              <w:rPr>
                <w:sz w:val="24"/>
              </w:rPr>
            </w:pPr>
          </w:p>
        </w:tc>
      </w:tr>
      <w:tr w:rsidR="00F95ED7" w:rsidRPr="00105E9B" w14:paraId="40C5D738" w14:textId="77777777" w:rsidTr="00E759B1">
        <w:trPr>
          <w:jc w:val="center"/>
        </w:trPr>
        <w:tc>
          <w:tcPr>
            <w:tcW w:w="4794" w:type="dxa"/>
          </w:tcPr>
          <w:p w14:paraId="47FD286E" w14:textId="77777777" w:rsidR="00264E7D" w:rsidRPr="00105E9B" w:rsidRDefault="00264E7D" w:rsidP="00E759B1">
            <w:pPr>
              <w:rPr>
                <w:i/>
                <w:iCs/>
                <w:sz w:val="24"/>
              </w:rPr>
            </w:pPr>
            <w:r w:rsidRPr="00105E9B">
              <w:rPr>
                <w:i/>
                <w:iCs/>
                <w:sz w:val="24"/>
              </w:rPr>
              <w:t>GŪ paraugu noņemšana 20 gab.</w:t>
            </w:r>
          </w:p>
        </w:tc>
        <w:tc>
          <w:tcPr>
            <w:tcW w:w="652" w:type="dxa"/>
          </w:tcPr>
          <w:p w14:paraId="5604D70E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0" w:type="dxa"/>
            <w:shd w:val="clear" w:color="auto" w:fill="B3E5A1" w:themeFill="accent6" w:themeFillTint="66"/>
          </w:tcPr>
          <w:p w14:paraId="12BB1EC9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1" w:type="dxa"/>
          </w:tcPr>
          <w:p w14:paraId="2F98D1AC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1" w:type="dxa"/>
            <w:shd w:val="clear" w:color="auto" w:fill="B3E5A1" w:themeFill="accent6" w:themeFillTint="66"/>
          </w:tcPr>
          <w:p w14:paraId="14B0865C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0" w:type="dxa"/>
            <w:shd w:val="clear" w:color="auto" w:fill="B3E5A1" w:themeFill="accent6" w:themeFillTint="66"/>
          </w:tcPr>
          <w:p w14:paraId="531F26DA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1" w:type="dxa"/>
            <w:shd w:val="clear" w:color="auto" w:fill="B3E5A1" w:themeFill="accent6" w:themeFillTint="66"/>
          </w:tcPr>
          <w:p w14:paraId="6D225235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0" w:type="dxa"/>
            <w:shd w:val="clear" w:color="auto" w:fill="B3E5A1" w:themeFill="accent6" w:themeFillTint="66"/>
          </w:tcPr>
          <w:p w14:paraId="58B8B35D" w14:textId="77777777" w:rsidR="00264E7D" w:rsidRPr="00105E9B" w:rsidRDefault="00264E7D" w:rsidP="00E759B1">
            <w:pPr>
              <w:rPr>
                <w:sz w:val="24"/>
              </w:rPr>
            </w:pPr>
          </w:p>
        </w:tc>
      </w:tr>
      <w:tr w:rsidR="00F95ED7" w:rsidRPr="00105E9B" w14:paraId="20CD2646" w14:textId="77777777" w:rsidTr="00E759B1">
        <w:trPr>
          <w:jc w:val="center"/>
        </w:trPr>
        <w:tc>
          <w:tcPr>
            <w:tcW w:w="4794" w:type="dxa"/>
          </w:tcPr>
          <w:p w14:paraId="00DE506C" w14:textId="77777777" w:rsidR="00264E7D" w:rsidRPr="00105E9B" w:rsidRDefault="00264E7D" w:rsidP="00E759B1">
            <w:pPr>
              <w:rPr>
                <w:i/>
                <w:iCs/>
                <w:sz w:val="24"/>
              </w:rPr>
            </w:pPr>
            <w:r w:rsidRPr="00105E9B">
              <w:rPr>
                <w:i/>
                <w:iCs/>
                <w:sz w:val="24"/>
              </w:rPr>
              <w:t>Paraugu testēšana laboratorijā 20 gab.</w:t>
            </w:r>
          </w:p>
        </w:tc>
        <w:tc>
          <w:tcPr>
            <w:tcW w:w="652" w:type="dxa"/>
          </w:tcPr>
          <w:p w14:paraId="6BBFE0E0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0" w:type="dxa"/>
            <w:shd w:val="clear" w:color="auto" w:fill="B3E5A1" w:themeFill="accent6" w:themeFillTint="66"/>
          </w:tcPr>
          <w:p w14:paraId="3B22E092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1" w:type="dxa"/>
          </w:tcPr>
          <w:p w14:paraId="440E1555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1" w:type="dxa"/>
            <w:shd w:val="clear" w:color="auto" w:fill="B3E5A1" w:themeFill="accent6" w:themeFillTint="66"/>
          </w:tcPr>
          <w:p w14:paraId="6B5544FA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0" w:type="dxa"/>
            <w:shd w:val="clear" w:color="auto" w:fill="B3E5A1" w:themeFill="accent6" w:themeFillTint="66"/>
          </w:tcPr>
          <w:p w14:paraId="414428A0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1" w:type="dxa"/>
            <w:shd w:val="clear" w:color="auto" w:fill="B3E5A1" w:themeFill="accent6" w:themeFillTint="66"/>
          </w:tcPr>
          <w:p w14:paraId="6ED75B10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0" w:type="dxa"/>
            <w:shd w:val="clear" w:color="auto" w:fill="B3E5A1" w:themeFill="accent6" w:themeFillTint="66"/>
          </w:tcPr>
          <w:p w14:paraId="56CD65F4" w14:textId="77777777" w:rsidR="00264E7D" w:rsidRPr="00105E9B" w:rsidRDefault="00264E7D" w:rsidP="00E759B1">
            <w:pPr>
              <w:rPr>
                <w:sz w:val="24"/>
              </w:rPr>
            </w:pPr>
          </w:p>
        </w:tc>
      </w:tr>
      <w:tr w:rsidR="00F95ED7" w:rsidRPr="00105E9B" w14:paraId="1DE08692" w14:textId="77777777" w:rsidTr="00E759B1">
        <w:trPr>
          <w:jc w:val="center"/>
        </w:trPr>
        <w:tc>
          <w:tcPr>
            <w:tcW w:w="4794" w:type="dxa"/>
          </w:tcPr>
          <w:p w14:paraId="7941FCBB" w14:textId="77777777" w:rsidR="00264E7D" w:rsidRPr="00105E9B" w:rsidRDefault="00264E7D" w:rsidP="00E759B1">
            <w:pPr>
              <w:rPr>
                <w:i/>
                <w:iCs/>
                <w:sz w:val="24"/>
              </w:rPr>
            </w:pPr>
            <w:r w:rsidRPr="00105E9B">
              <w:rPr>
                <w:i/>
                <w:iCs/>
                <w:sz w:val="24"/>
              </w:rPr>
              <w:t>Pārskata sagatavošana 1 gab.</w:t>
            </w:r>
          </w:p>
        </w:tc>
        <w:tc>
          <w:tcPr>
            <w:tcW w:w="652" w:type="dxa"/>
            <w:shd w:val="clear" w:color="auto" w:fill="B3E5A1" w:themeFill="accent6" w:themeFillTint="66"/>
          </w:tcPr>
          <w:p w14:paraId="73897FB3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0" w:type="dxa"/>
            <w:shd w:val="clear" w:color="auto" w:fill="B3E5A1" w:themeFill="accent6" w:themeFillTint="66"/>
          </w:tcPr>
          <w:p w14:paraId="7CF4FA46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1" w:type="dxa"/>
            <w:shd w:val="clear" w:color="auto" w:fill="B3E5A1" w:themeFill="accent6" w:themeFillTint="66"/>
          </w:tcPr>
          <w:p w14:paraId="5D324032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1" w:type="dxa"/>
            <w:shd w:val="clear" w:color="auto" w:fill="B3E5A1" w:themeFill="accent6" w:themeFillTint="66"/>
          </w:tcPr>
          <w:p w14:paraId="6BD5A63D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0" w:type="dxa"/>
            <w:shd w:val="clear" w:color="auto" w:fill="B3E5A1" w:themeFill="accent6" w:themeFillTint="66"/>
          </w:tcPr>
          <w:p w14:paraId="7E575776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1" w:type="dxa"/>
            <w:shd w:val="clear" w:color="auto" w:fill="B3E5A1" w:themeFill="accent6" w:themeFillTint="66"/>
          </w:tcPr>
          <w:p w14:paraId="77C339E2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0" w:type="dxa"/>
            <w:shd w:val="clear" w:color="auto" w:fill="B3E5A1" w:themeFill="accent6" w:themeFillTint="66"/>
          </w:tcPr>
          <w:p w14:paraId="17908239" w14:textId="77777777" w:rsidR="00264E7D" w:rsidRPr="00105E9B" w:rsidRDefault="00264E7D" w:rsidP="00E759B1">
            <w:pPr>
              <w:rPr>
                <w:sz w:val="24"/>
              </w:rPr>
            </w:pPr>
          </w:p>
        </w:tc>
      </w:tr>
      <w:tr w:rsidR="00F95ED7" w:rsidRPr="00105E9B" w14:paraId="353346FB" w14:textId="77777777" w:rsidTr="00E759B1">
        <w:trPr>
          <w:jc w:val="center"/>
        </w:trPr>
        <w:tc>
          <w:tcPr>
            <w:tcW w:w="4794" w:type="dxa"/>
          </w:tcPr>
          <w:p w14:paraId="49975BEA" w14:textId="77777777" w:rsidR="00264E7D" w:rsidRPr="00105E9B" w:rsidRDefault="00264E7D" w:rsidP="00E759B1">
            <w:pPr>
              <w:rPr>
                <w:i/>
                <w:iCs/>
                <w:sz w:val="24"/>
              </w:rPr>
            </w:pPr>
            <w:r w:rsidRPr="00105E9B">
              <w:rPr>
                <w:i/>
                <w:iCs/>
                <w:sz w:val="24"/>
              </w:rPr>
              <w:t>Pārskata iesniegšana Pasūtītājam un VVD 1 gab.</w:t>
            </w:r>
          </w:p>
        </w:tc>
        <w:tc>
          <w:tcPr>
            <w:tcW w:w="652" w:type="dxa"/>
            <w:shd w:val="clear" w:color="auto" w:fill="B3E5A1" w:themeFill="accent6" w:themeFillTint="66"/>
          </w:tcPr>
          <w:p w14:paraId="4EAE07C8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0" w:type="dxa"/>
            <w:shd w:val="clear" w:color="auto" w:fill="B3E5A1" w:themeFill="accent6" w:themeFillTint="66"/>
          </w:tcPr>
          <w:p w14:paraId="056D7374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1" w:type="dxa"/>
            <w:shd w:val="clear" w:color="auto" w:fill="B3E5A1" w:themeFill="accent6" w:themeFillTint="66"/>
          </w:tcPr>
          <w:p w14:paraId="52F2DCEA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1" w:type="dxa"/>
            <w:shd w:val="clear" w:color="auto" w:fill="B3E5A1" w:themeFill="accent6" w:themeFillTint="66"/>
          </w:tcPr>
          <w:p w14:paraId="4A11EA8D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0" w:type="dxa"/>
            <w:shd w:val="clear" w:color="auto" w:fill="B3E5A1" w:themeFill="accent6" w:themeFillTint="66"/>
          </w:tcPr>
          <w:p w14:paraId="2C60127E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1" w:type="dxa"/>
            <w:shd w:val="clear" w:color="auto" w:fill="B3E5A1" w:themeFill="accent6" w:themeFillTint="66"/>
          </w:tcPr>
          <w:p w14:paraId="7CB23B7E" w14:textId="77777777" w:rsidR="00264E7D" w:rsidRPr="00105E9B" w:rsidRDefault="00264E7D" w:rsidP="00E759B1">
            <w:pPr>
              <w:rPr>
                <w:sz w:val="24"/>
              </w:rPr>
            </w:pPr>
          </w:p>
        </w:tc>
        <w:tc>
          <w:tcPr>
            <w:tcW w:w="650" w:type="dxa"/>
            <w:shd w:val="clear" w:color="auto" w:fill="B3E5A1" w:themeFill="accent6" w:themeFillTint="66"/>
          </w:tcPr>
          <w:p w14:paraId="5CA15B2A" w14:textId="77777777" w:rsidR="00264E7D" w:rsidRPr="00105E9B" w:rsidRDefault="00264E7D" w:rsidP="00E759B1">
            <w:pPr>
              <w:rPr>
                <w:sz w:val="24"/>
              </w:rPr>
            </w:pPr>
          </w:p>
        </w:tc>
      </w:tr>
    </w:tbl>
    <w:p w14:paraId="6C33123D" w14:textId="77777777" w:rsidR="00264E7D" w:rsidRPr="00105E9B" w:rsidRDefault="00264E7D" w:rsidP="00264E7D">
      <w:pPr>
        <w:pStyle w:val="Sarakstarindkopa"/>
        <w:ind w:left="792"/>
        <w:jc w:val="both"/>
        <w:rPr>
          <w:rFonts w:ascii="Times New Roman" w:hAnsi="Times New Roman"/>
          <w:sz w:val="24"/>
        </w:rPr>
      </w:pPr>
    </w:p>
    <w:sectPr w:rsidR="00264E7D" w:rsidRPr="00105E9B" w:rsidSect="00F95ED7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53395"/>
    <w:multiLevelType w:val="multilevel"/>
    <w:tmpl w:val="724EAF0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291FC1"/>
    <w:multiLevelType w:val="hybridMultilevel"/>
    <w:tmpl w:val="BD20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075B9"/>
    <w:multiLevelType w:val="hybridMultilevel"/>
    <w:tmpl w:val="32843B62"/>
    <w:lvl w:ilvl="0" w:tplc="7CD6AD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E1C42"/>
    <w:multiLevelType w:val="hybridMultilevel"/>
    <w:tmpl w:val="6F1ABE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762BD"/>
    <w:multiLevelType w:val="hybridMultilevel"/>
    <w:tmpl w:val="AF88843C"/>
    <w:lvl w:ilvl="0" w:tplc="BFF0D7F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84D57"/>
    <w:multiLevelType w:val="hybridMultilevel"/>
    <w:tmpl w:val="329CF71A"/>
    <w:lvl w:ilvl="0" w:tplc="2A985C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311066">
    <w:abstractNumId w:val="2"/>
  </w:num>
  <w:num w:numId="2" w16cid:durableId="1660228815">
    <w:abstractNumId w:val="5"/>
  </w:num>
  <w:num w:numId="3" w16cid:durableId="1075471088">
    <w:abstractNumId w:val="4"/>
  </w:num>
  <w:num w:numId="4" w16cid:durableId="1834104790">
    <w:abstractNumId w:val="1"/>
  </w:num>
  <w:num w:numId="5" w16cid:durableId="2082830970">
    <w:abstractNumId w:val="3"/>
  </w:num>
  <w:num w:numId="6" w16cid:durableId="111267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73"/>
    <w:rsid w:val="00074795"/>
    <w:rsid w:val="000B5C49"/>
    <w:rsid w:val="000D3C52"/>
    <w:rsid w:val="00105E9B"/>
    <w:rsid w:val="00114B60"/>
    <w:rsid w:val="00116840"/>
    <w:rsid w:val="00125791"/>
    <w:rsid w:val="00167773"/>
    <w:rsid w:val="00185B77"/>
    <w:rsid w:val="00195AD9"/>
    <w:rsid w:val="001A3F20"/>
    <w:rsid w:val="0023043A"/>
    <w:rsid w:val="00260B9D"/>
    <w:rsid w:val="00264E7D"/>
    <w:rsid w:val="002679F9"/>
    <w:rsid w:val="002E49C6"/>
    <w:rsid w:val="002F428A"/>
    <w:rsid w:val="0036043C"/>
    <w:rsid w:val="003D343E"/>
    <w:rsid w:val="003F3013"/>
    <w:rsid w:val="004231EC"/>
    <w:rsid w:val="004241F5"/>
    <w:rsid w:val="0042512A"/>
    <w:rsid w:val="00451FA8"/>
    <w:rsid w:val="004D5275"/>
    <w:rsid w:val="004E01B9"/>
    <w:rsid w:val="005016B1"/>
    <w:rsid w:val="0065009B"/>
    <w:rsid w:val="00690A29"/>
    <w:rsid w:val="006B04E9"/>
    <w:rsid w:val="006D2A70"/>
    <w:rsid w:val="006D3A7C"/>
    <w:rsid w:val="00737622"/>
    <w:rsid w:val="00776D54"/>
    <w:rsid w:val="00786499"/>
    <w:rsid w:val="007929B5"/>
    <w:rsid w:val="007A0D9A"/>
    <w:rsid w:val="007D34A1"/>
    <w:rsid w:val="00812AA6"/>
    <w:rsid w:val="00814058"/>
    <w:rsid w:val="00980130"/>
    <w:rsid w:val="00A71D6E"/>
    <w:rsid w:val="00A94987"/>
    <w:rsid w:val="00BB5E29"/>
    <w:rsid w:val="00BB64A3"/>
    <w:rsid w:val="00C03A00"/>
    <w:rsid w:val="00C372BE"/>
    <w:rsid w:val="00C46840"/>
    <w:rsid w:val="00C81F85"/>
    <w:rsid w:val="00CB59BF"/>
    <w:rsid w:val="00CC5999"/>
    <w:rsid w:val="00D170A5"/>
    <w:rsid w:val="00D277AD"/>
    <w:rsid w:val="00D37B82"/>
    <w:rsid w:val="00DD7E4A"/>
    <w:rsid w:val="00DF6F9E"/>
    <w:rsid w:val="00E212FC"/>
    <w:rsid w:val="00E231DC"/>
    <w:rsid w:val="00EF4C5C"/>
    <w:rsid w:val="00EF708D"/>
    <w:rsid w:val="00F00FF4"/>
    <w:rsid w:val="00F95ED7"/>
    <w:rsid w:val="00F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5689E1"/>
  <w15:chartTrackingRefBased/>
  <w15:docId w15:val="{0B1B01A1-F3DD-4FFB-9958-C083D4E4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F4C5C"/>
    <w:pPr>
      <w:spacing w:after="0" w:line="240" w:lineRule="auto"/>
    </w:pPr>
    <w:rPr>
      <w:rFonts w:eastAsia="Times New Roman" w:cs="Times New Roman"/>
      <w:kern w:val="0"/>
      <w:szCs w:val="24"/>
      <w:lang w:eastAsia="lv-LV"/>
      <w14:ligatures w14:val="none"/>
    </w:rPr>
  </w:style>
  <w:style w:type="paragraph" w:styleId="Virsraksts1">
    <w:name w:val="heading 1"/>
    <w:aliases w:val="NODAĻAS VIRSRAKSTS"/>
    <w:basedOn w:val="Parasts"/>
    <w:next w:val="Parasts"/>
    <w:link w:val="Virsraksts1Rakstz"/>
    <w:qFormat/>
    <w:rsid w:val="00167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aliases w:val="Apakšnodaļas virsraksts"/>
    <w:basedOn w:val="Parasts"/>
    <w:next w:val="Parasts"/>
    <w:link w:val="Virsraksts2Rakstz"/>
    <w:unhideWhenUsed/>
    <w:qFormat/>
    <w:rsid w:val="00167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aliases w:val="Punkta virsraksts"/>
    <w:basedOn w:val="Parasts"/>
    <w:next w:val="Parasts"/>
    <w:link w:val="Virsraksts3Rakstz"/>
    <w:unhideWhenUsed/>
    <w:qFormat/>
    <w:rsid w:val="00167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67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67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677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677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677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677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NODAĻAS VIRSRAKSTS Rakstz."/>
    <w:basedOn w:val="Noklusjumarindkopasfonts"/>
    <w:link w:val="Virsraksts1"/>
    <w:rsid w:val="00167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aliases w:val="Apakšnodaļas virsraksts Rakstz."/>
    <w:basedOn w:val="Noklusjumarindkopasfonts"/>
    <w:link w:val="Virsraksts2"/>
    <w:rsid w:val="00167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aliases w:val="Punkta virsraksts Rakstz."/>
    <w:basedOn w:val="Noklusjumarindkopasfonts"/>
    <w:link w:val="Virsraksts3"/>
    <w:uiPriority w:val="9"/>
    <w:semiHidden/>
    <w:rsid w:val="00167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6777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6777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6777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6777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6777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6777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677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67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qFormat/>
    <w:rsid w:val="00167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rsid w:val="00167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67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67773"/>
    <w:rPr>
      <w:i/>
      <w:iCs/>
      <w:color w:val="404040" w:themeColor="text1" w:themeTint="BF"/>
    </w:rPr>
  </w:style>
  <w:style w:type="paragraph" w:styleId="Sarakstarindkopa">
    <w:name w:val="List Paragraph"/>
    <w:basedOn w:val="Parasts"/>
    <w:link w:val="SarakstarindkopaRakstz"/>
    <w:uiPriority w:val="34"/>
    <w:qFormat/>
    <w:rsid w:val="0016777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6777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67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6777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67773"/>
    <w:rPr>
      <w:b/>
      <w:bCs/>
      <w:smallCaps/>
      <w:color w:val="0F4761" w:themeColor="accent1" w:themeShade="BF"/>
      <w:spacing w:val="5"/>
    </w:rPr>
  </w:style>
  <w:style w:type="paragraph" w:customStyle="1" w:styleId="Tabulasnosaukums">
    <w:name w:val="Tabulas nosaukums"/>
    <w:basedOn w:val="Parasts"/>
    <w:next w:val="Parasts"/>
    <w:rsid w:val="00EF4C5C"/>
    <w:pPr>
      <w:spacing w:after="120"/>
      <w:jc w:val="center"/>
    </w:pPr>
    <w:rPr>
      <w:rFonts w:ascii="Times New Roman Bold" w:hAnsi="Times New Roman Bold"/>
      <w:b/>
    </w:rPr>
  </w:style>
  <w:style w:type="table" w:styleId="Reatabula">
    <w:name w:val="Table Grid"/>
    <w:basedOn w:val="Parastatabula"/>
    <w:rsid w:val="00EF4C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basedOn w:val="Noklusjumarindkopasfonts"/>
    <w:link w:val="Sarakstarindkopa"/>
    <w:uiPriority w:val="34"/>
    <w:rsid w:val="00EF4C5C"/>
  </w:style>
  <w:style w:type="character" w:styleId="Komentraatsauce">
    <w:name w:val="annotation reference"/>
    <w:basedOn w:val="Noklusjumarindkopasfonts"/>
    <w:uiPriority w:val="99"/>
    <w:semiHidden/>
    <w:unhideWhenUsed/>
    <w:rsid w:val="004E01B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E01B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E01B9"/>
    <w:rPr>
      <w:rFonts w:eastAsia="Times New Roman" w:cs="Times New Roman"/>
      <w:kern w:val="0"/>
      <w:sz w:val="20"/>
      <w:szCs w:val="20"/>
      <w:lang w:eastAsia="lv-LV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01B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01B9"/>
    <w:rPr>
      <w:rFonts w:eastAsia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styleId="Prskatjums">
    <w:name w:val="Revision"/>
    <w:hidden/>
    <w:uiPriority w:val="99"/>
    <w:semiHidden/>
    <w:rsid w:val="00F00FF4"/>
    <w:pPr>
      <w:spacing w:after="0" w:line="240" w:lineRule="auto"/>
    </w:pPr>
    <w:rPr>
      <w:rFonts w:eastAsia="Times New Roman" w:cs="Times New Roman"/>
      <w:kern w:val="0"/>
      <w:szCs w:val="24"/>
      <w:lang w:eastAsia="lv-LV"/>
      <w14:ligatures w14:val="none"/>
    </w:rPr>
  </w:style>
  <w:style w:type="paragraph" w:customStyle="1" w:styleId="Attlanosaukums">
    <w:name w:val="Attēla nosaukums"/>
    <w:basedOn w:val="Ilustrcijusaraksts"/>
    <w:next w:val="Ilustrcijusaraksts"/>
    <w:rsid w:val="00814058"/>
    <w:pPr>
      <w:spacing w:before="240" w:after="120"/>
      <w:jc w:val="center"/>
    </w:pPr>
    <w:rPr>
      <w:rFonts w:ascii="Times New Roman Bold" w:hAnsi="Times New Roman Bold"/>
      <w:b/>
    </w:rPr>
  </w:style>
  <w:style w:type="paragraph" w:styleId="Ilustrcijusaraksts">
    <w:name w:val="table of figures"/>
    <w:basedOn w:val="Parasts"/>
    <w:next w:val="Parasts"/>
    <w:uiPriority w:val="99"/>
    <w:semiHidden/>
    <w:unhideWhenUsed/>
    <w:rsid w:val="0081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Agnese Klimoviča</cp:lastModifiedBy>
  <cp:revision>13</cp:revision>
  <dcterms:created xsi:type="dcterms:W3CDTF">2024-05-27T10:53:00Z</dcterms:created>
  <dcterms:modified xsi:type="dcterms:W3CDTF">2024-07-25T08:42:00Z</dcterms:modified>
</cp:coreProperties>
</file>