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atklāta</w:t>
      </w:r>
      <w:r w:rsidR="00EA4E0C" w:rsidRPr="00EA4E0C">
        <w:rPr>
          <w:rFonts w:ascii="Times New Roman" w:hAnsi="Times New Roman" w:cs="Times New Roman"/>
          <w:sz w:val="24"/>
          <w:szCs w:val="24"/>
        </w:rPr>
        <w:t>is</w:t>
      </w:r>
      <w:r w:rsidRPr="00EA4E0C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EA4E0C">
        <w:rPr>
          <w:rFonts w:ascii="Times New Roman" w:hAnsi="Times New Roman" w:cs="Times New Roman"/>
          <w:sz w:val="24"/>
          <w:szCs w:val="24"/>
        </w:rPr>
        <w:t>s</w:t>
      </w:r>
    </w:p>
    <w:p w14:paraId="31735D73" w14:textId="011A6FDA" w:rsidR="00EA4E0C" w:rsidRPr="00D9271C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1C">
        <w:rPr>
          <w:rFonts w:ascii="Times New Roman" w:hAnsi="Times New Roman" w:cs="Times New Roman"/>
          <w:b/>
          <w:sz w:val="24"/>
          <w:szCs w:val="24"/>
        </w:rPr>
        <w:t>“</w:t>
      </w:r>
      <w:r w:rsidR="00D9271C" w:rsidRPr="00D9271C">
        <w:rPr>
          <w:rFonts w:ascii="Times New Roman" w:hAnsi="Times New Roman" w:cs="Times New Roman"/>
          <w:b/>
          <w:sz w:val="24"/>
          <w:szCs w:val="24"/>
        </w:rPr>
        <w:t xml:space="preserve">Piestātnē Nr.16 pienākošo kuģu elektrotīkla </w:t>
      </w:r>
      <w:proofErr w:type="spellStart"/>
      <w:r w:rsidR="00D9271C" w:rsidRPr="00D9271C">
        <w:rPr>
          <w:rFonts w:ascii="Times New Roman" w:hAnsi="Times New Roman" w:cs="Times New Roman"/>
          <w:b/>
          <w:sz w:val="24"/>
          <w:szCs w:val="24"/>
        </w:rPr>
        <w:t>pieslēgumu</w:t>
      </w:r>
      <w:proofErr w:type="spellEnd"/>
      <w:r w:rsidR="00D9271C" w:rsidRPr="00D9271C">
        <w:rPr>
          <w:rFonts w:ascii="Times New Roman" w:hAnsi="Times New Roman" w:cs="Times New Roman"/>
          <w:b/>
          <w:sz w:val="24"/>
          <w:szCs w:val="24"/>
        </w:rPr>
        <w:t xml:space="preserve"> punktu izbūv</w:t>
      </w:r>
      <w:r w:rsidR="00D9271C">
        <w:rPr>
          <w:rFonts w:ascii="Times New Roman" w:hAnsi="Times New Roman" w:cs="Times New Roman"/>
          <w:b/>
          <w:sz w:val="24"/>
          <w:szCs w:val="24"/>
        </w:rPr>
        <w:t xml:space="preserve">es </w:t>
      </w:r>
      <w:r w:rsidR="00D9271C" w:rsidRPr="00D9271C">
        <w:rPr>
          <w:rFonts w:ascii="Times New Roman" w:hAnsi="Times New Roman" w:cs="Times New Roman"/>
          <w:b/>
          <w:sz w:val="24"/>
          <w:szCs w:val="24"/>
        </w:rPr>
        <w:t>būvuzraudzība</w:t>
      </w:r>
      <w:r w:rsidRPr="00D9271C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5C31C5" w14:textId="699A6189" w:rsidR="00A65B0C" w:rsidRDefault="00EA4E0C" w:rsidP="00A2726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  <w:r w:rsidR="00A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0C">
        <w:rPr>
          <w:rFonts w:ascii="Times New Roman" w:hAnsi="Times New Roman" w:cs="Times New Roman"/>
          <w:b/>
          <w:sz w:val="24"/>
          <w:szCs w:val="24"/>
        </w:rPr>
        <w:t>Nr. VBOP 2025/</w:t>
      </w:r>
      <w:r w:rsidR="00A27268">
        <w:rPr>
          <w:rFonts w:ascii="Times New Roman" w:hAnsi="Times New Roman" w:cs="Times New Roman"/>
          <w:b/>
          <w:sz w:val="24"/>
          <w:szCs w:val="24"/>
        </w:rPr>
        <w:t>4</w:t>
      </w:r>
      <w:r w:rsidR="00D9271C">
        <w:rPr>
          <w:rFonts w:ascii="Times New Roman" w:hAnsi="Times New Roman" w:cs="Times New Roman"/>
          <w:b/>
          <w:sz w:val="24"/>
          <w:szCs w:val="24"/>
        </w:rPr>
        <w:t>6</w:t>
      </w:r>
      <w:r w:rsidR="00A27268">
        <w:rPr>
          <w:rFonts w:ascii="Times New Roman" w:hAnsi="Times New Roman" w:cs="Times New Roman"/>
          <w:b/>
          <w:sz w:val="24"/>
          <w:szCs w:val="24"/>
        </w:rPr>
        <w:t>KF</w:t>
      </w:r>
      <w:r w:rsidRPr="00EA4E0C">
        <w:rPr>
          <w:rFonts w:ascii="Times New Roman" w:hAnsi="Times New Roman" w:cs="Times New Roman"/>
          <w:b/>
          <w:sz w:val="24"/>
          <w:szCs w:val="24"/>
        </w:rPr>
        <w:t>_A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75702BF9" w14:textId="77777777" w:rsidR="00A27268" w:rsidRPr="00A27268" w:rsidRDefault="00A27268" w:rsidP="00A27268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. Nr. 90000284085</w:t>
            </w:r>
          </w:p>
          <w:p w14:paraId="495BDDAF" w14:textId="0D362426" w:rsid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  <w:r w:rsidR="00A27268">
              <w:rPr>
                <w:rFonts w:ascii="Times New Roman" w:hAnsi="Times New Roman" w:cs="Times New Roman"/>
                <w:sz w:val="24"/>
                <w:szCs w:val="24"/>
              </w:rPr>
              <w:t>Arnis Mazalis,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tālr. numurs 636023</w:t>
            </w:r>
            <w:r w:rsidR="00A272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D040" w14:textId="3B1628B4" w:rsidR="00A65B0C" w:rsidRPr="00A65B0C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saziņai:</w:t>
            </w: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65B0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iepirkumi@vbp.lv</w:t>
              </w:r>
            </w:hyperlink>
          </w:p>
        </w:tc>
      </w:tr>
      <w:tr w:rsidR="00EA4E0C" w:rsidRPr="00EA4E0C" w14:paraId="12BB9ACF" w14:textId="77777777" w:rsidTr="005423B3">
        <w:trPr>
          <w:trHeight w:val="2431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764680C5" w14:textId="1673F561" w:rsidR="00EA4E0C" w:rsidRDefault="00A27268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Piestātnē Nr.16 pienākošo kuģu elektrotīkla </w:t>
            </w:r>
            <w:proofErr w:type="spellStart"/>
            <w:r>
              <w:rPr>
                <w:szCs w:val="24"/>
              </w:rPr>
              <w:t>pieslēgumu</w:t>
            </w:r>
            <w:proofErr w:type="spellEnd"/>
            <w:r>
              <w:rPr>
                <w:szCs w:val="24"/>
              </w:rPr>
              <w:t xml:space="preserve"> punktu izbūve</w:t>
            </w:r>
            <w:r w:rsidR="00D9271C">
              <w:rPr>
                <w:szCs w:val="24"/>
              </w:rPr>
              <w:t>s būvuzraudzība.</w:t>
            </w:r>
          </w:p>
          <w:p w14:paraId="05ED62C2" w14:textId="5CCC87F9" w:rsidR="00D9271C" w:rsidRPr="00D9271C" w:rsidRDefault="00D9271C" w:rsidP="00A27268">
            <w:pPr>
              <w:pStyle w:val="BlockText"/>
              <w:spacing w:after="120"/>
              <w:ind w:left="0" w:right="-57"/>
              <w:jc w:val="both"/>
              <w:rPr>
                <w:bCs/>
                <w:szCs w:val="24"/>
              </w:rPr>
            </w:pPr>
            <w:r w:rsidRPr="00D9271C">
              <w:rPr>
                <w:bCs/>
                <w:szCs w:val="24"/>
              </w:rPr>
              <w:t xml:space="preserve">Būvuzraudzības darbu līguma izpildes termiņš – no būvdarbu izpildes uzsākšanas (saskaņā ar būvdarbu līgumā noteiktajiem termiņiem) līdz būvobjekta “Piestātnē Nr.16 pienākošo kuģu elektrotīkla </w:t>
            </w:r>
            <w:proofErr w:type="spellStart"/>
            <w:r w:rsidRPr="00D9271C">
              <w:rPr>
                <w:bCs/>
                <w:szCs w:val="24"/>
              </w:rPr>
              <w:t>pieslēgumu</w:t>
            </w:r>
            <w:proofErr w:type="spellEnd"/>
            <w:r w:rsidRPr="00D9271C">
              <w:rPr>
                <w:bCs/>
                <w:szCs w:val="24"/>
              </w:rPr>
              <w:t xml:space="preserve"> punktu izbūve un piestātņu Nr.14, 15, 16 kabeļu kanālu pārbūve” 1.kārtas būvdarbu pabeigšanai un to pieņemšanai ekspluatācijā.</w:t>
            </w:r>
          </w:p>
          <w:p w14:paraId="3ABF076F" w14:textId="555DAE1D" w:rsidR="00A27268" w:rsidRPr="00A27268" w:rsidRDefault="00A27268" w:rsidP="00A27268">
            <w:pPr>
              <w:pStyle w:val="BlockText"/>
              <w:spacing w:after="120"/>
              <w:ind w:left="0" w:right="-57"/>
              <w:jc w:val="both"/>
              <w:rPr>
                <w:bCs/>
                <w:caps/>
              </w:rPr>
            </w:pPr>
            <w:r w:rsidRPr="00A27268">
              <w:rPr>
                <w:szCs w:val="24"/>
              </w:rPr>
              <w:t>Būvdarbu</w:t>
            </w:r>
            <w:r w:rsidRPr="00A27268">
              <w:rPr>
                <w:bCs/>
              </w:rPr>
              <w:t xml:space="preserve"> izpildes termiņš 14 (četrpadsmit) mēneši no dienas, kad būvatļaujā izdarīta atzīme par būvdarbu uzsākšanas nosacījumu izpildi. Būvdarbu izpildes termiņā netiek skaitīts tehnoloģiskais pārtraukums.</w:t>
            </w:r>
            <w:bookmarkStart w:id="0" w:name="_Hlk60915413"/>
          </w:p>
          <w:p w14:paraId="4036D5F9" w14:textId="374F183F" w:rsidR="00A27268" w:rsidRPr="00A65B0C" w:rsidRDefault="00A27268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547AEE">
              <w:rPr>
                <w:szCs w:val="24"/>
              </w:rPr>
              <w:t xml:space="preserve">Būvdarbi tiks veikti un finansēti </w:t>
            </w:r>
            <w:bookmarkEnd w:id="0"/>
            <w:r w:rsidRPr="00C9033D">
              <w:rPr>
                <w:szCs w:val="24"/>
              </w:rPr>
              <w:t xml:space="preserve">Eiropas Savienības kohēzijas politikas programmas 2021.-2027.gadam 3.1.prioritātes “Ilgtspējīga TEN-T infrastruktūra” 3.1.1. specifiskā atbalsta mērķa “Attīstīt ilgtspējīgu, pret klimatu izturīgu, inteliģentu, drošu un </w:t>
            </w:r>
            <w:proofErr w:type="spellStart"/>
            <w:r w:rsidRPr="00C9033D">
              <w:rPr>
                <w:szCs w:val="24"/>
              </w:rPr>
              <w:t>vairākveidu</w:t>
            </w:r>
            <w:proofErr w:type="spellEnd"/>
            <w:r w:rsidRPr="00C9033D">
              <w:rPr>
                <w:szCs w:val="24"/>
              </w:rPr>
              <w:t xml:space="preserve"> TEN-T infrastruktūru” 3.1.1.6.pasākuma “Lielo ostu publiskās infrastruktūras attīstība” ietvaros</w:t>
            </w:r>
            <w:r w:rsidRPr="00547AEE">
              <w:rPr>
                <w:szCs w:val="24"/>
              </w:rPr>
              <w:t>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315A2FB5" w14:textId="6BE4FCC8" w:rsidR="00A27268" w:rsidRPr="00A27268" w:rsidRDefault="00A27268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268">
              <w:rPr>
                <w:rFonts w:ascii="Times New Roman" w:hAnsi="Times New Roman" w:cs="Times New Roman"/>
                <w:sz w:val="24"/>
                <w:szCs w:val="24"/>
              </w:rPr>
              <w:t>Iepirkuma nolikums ar pielikumiem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DF45F7" w14:textId="5D43319C" w:rsidR="00E04153" w:rsidRPr="001E33C1" w:rsidRDefault="001E33C1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A27268">
              <w:t>C</w:t>
            </w:r>
            <w:r w:rsidR="00E04153" w:rsidRPr="00A27268">
              <w:t>itas</w:t>
            </w:r>
            <w:r w:rsidR="00E04153" w:rsidRPr="001E33C1">
              <w:rPr>
                <w:szCs w:val="24"/>
              </w:rPr>
              <w:t xml:space="preserve"> prasības, ko piegādātāji uzskata par nepieciešamu apspriest</w:t>
            </w:r>
            <w:r w:rsidRPr="001E33C1">
              <w:rPr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5C65C0E5" w:rsidR="00E04153" w:rsidRPr="00A27268" w:rsidRDefault="00CE0C7C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bookmarkStart w:id="1" w:name="bookmark27"/>
            <w:bookmarkEnd w:id="1"/>
            <w:r w:rsidRPr="00EA4E0C">
              <w:t xml:space="preserve">(CPV kods): </w:t>
            </w:r>
            <w:r w:rsidR="00D9271C" w:rsidRPr="007758E6">
              <w:rPr>
                <w:rFonts w:eastAsia="Calibri"/>
                <w:szCs w:val="24"/>
                <w:lang w:eastAsia="lv-LV"/>
              </w:rPr>
              <w:t>71247000-1 (būvdarbu uzraudzība</w:t>
            </w:r>
            <w:r w:rsidR="00D9271C" w:rsidRPr="007758E6">
              <w:rPr>
                <w:szCs w:val="24"/>
              </w:rPr>
              <w:t>)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rakstveidā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C9A00" w14:textId="2EE35D51" w:rsidR="00A65B0C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3B3" w:rsidRPr="00A41E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1E5C" w:rsidRPr="00A41E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23B3" w:rsidRPr="00A41E5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27268" w:rsidRPr="00A41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23B3" w:rsidRPr="00A41E5C">
              <w:rPr>
                <w:rFonts w:ascii="Times New Roman" w:hAnsi="Times New Roman" w:cs="Times New Roman"/>
                <w:sz w:val="24"/>
                <w:szCs w:val="24"/>
              </w:rPr>
              <w:t>.2025.).</w:t>
            </w:r>
          </w:p>
          <w:p w14:paraId="647C0CF5" w14:textId="5BD04993" w:rsidR="00E04153" w:rsidRPr="00EA4E0C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Komentāru un</w:t>
            </w:r>
            <w:r w:rsidR="00AF2E3C"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A4E0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priekšlikumu iesūtīšana veicama EIS</w:t>
            </w:r>
            <w:r w:rsidR="001E33C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vai nosūtot uz e-pastu iepirkumi@vbp.lv.</w:t>
            </w:r>
          </w:p>
          <w:p w14:paraId="6EA6B73F" w14:textId="77777777" w:rsidR="00E04153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priekšlikumu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un pamatojumu piedāvāto priekšlikumu iekļaušanai vai neiekļaušanai iepirkuma dokumentācijā.</w:t>
            </w:r>
          </w:p>
          <w:p w14:paraId="235CDFD4" w14:textId="6A7DC556" w:rsidR="001E33C1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6" w:history="1">
              <w:r w:rsidRPr="00D24D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www.portofventspils.lv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  <w:p w14:paraId="6A4704E9" w14:textId="6EBC5F3E" w:rsidR="001E33C1" w:rsidRPr="00EA4E0C" w:rsidRDefault="001E33C1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iesūta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E33C1"/>
    <w:rsid w:val="00215B8F"/>
    <w:rsid w:val="002936CD"/>
    <w:rsid w:val="002C5878"/>
    <w:rsid w:val="00313AF5"/>
    <w:rsid w:val="003C72BC"/>
    <w:rsid w:val="003F614C"/>
    <w:rsid w:val="004B48E5"/>
    <w:rsid w:val="005423B3"/>
    <w:rsid w:val="00582A7A"/>
    <w:rsid w:val="00660EB6"/>
    <w:rsid w:val="00661A3F"/>
    <w:rsid w:val="00692CF8"/>
    <w:rsid w:val="00694889"/>
    <w:rsid w:val="006D2F82"/>
    <w:rsid w:val="0075080D"/>
    <w:rsid w:val="00782C16"/>
    <w:rsid w:val="00794068"/>
    <w:rsid w:val="0080216F"/>
    <w:rsid w:val="00861C31"/>
    <w:rsid w:val="009C6735"/>
    <w:rsid w:val="00A00CAA"/>
    <w:rsid w:val="00A239AB"/>
    <w:rsid w:val="00A27268"/>
    <w:rsid w:val="00A41E5C"/>
    <w:rsid w:val="00A65B0C"/>
    <w:rsid w:val="00AA3809"/>
    <w:rsid w:val="00AF2E3C"/>
    <w:rsid w:val="00B94E5D"/>
    <w:rsid w:val="00BA7BD1"/>
    <w:rsid w:val="00C439EA"/>
    <w:rsid w:val="00C54437"/>
    <w:rsid w:val="00C70314"/>
    <w:rsid w:val="00CE0C7C"/>
    <w:rsid w:val="00CF4EA5"/>
    <w:rsid w:val="00D83EB7"/>
    <w:rsid w:val="00D9005C"/>
    <w:rsid w:val="00D9271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s">
    <w:name w:val="Punkts"/>
    <w:basedOn w:val="Normal"/>
    <w:next w:val="Apakpunkts"/>
    <w:rsid w:val="00A27268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27268"/>
    <w:pPr>
      <w:tabs>
        <w:tab w:val="num" w:pos="2651"/>
      </w:tabs>
      <w:spacing w:after="0" w:line="240" w:lineRule="auto"/>
      <w:ind w:left="26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link w:val="ParagrfsChar"/>
    <w:rsid w:val="00A27268"/>
    <w:pPr>
      <w:tabs>
        <w:tab w:val="num" w:pos="1211"/>
      </w:tabs>
      <w:spacing w:after="0" w:line="240" w:lineRule="auto"/>
      <w:ind w:left="1211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Char">
    <w:name w:val="Paragrāfs Char"/>
    <w:link w:val="Paragrfs"/>
    <w:rsid w:val="00A27268"/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ofventspils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Ilze Remerte</cp:lastModifiedBy>
  <cp:revision>3</cp:revision>
  <dcterms:created xsi:type="dcterms:W3CDTF">2025-06-04T06:30:00Z</dcterms:created>
  <dcterms:modified xsi:type="dcterms:W3CDTF">2025-06-05T13:49:00Z</dcterms:modified>
</cp:coreProperties>
</file>