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7FD1" w14:textId="77777777" w:rsidR="00AC58F5" w:rsidRDefault="00AC58F5" w:rsidP="00EA4E0C">
      <w:pPr>
        <w:spacing w:after="0" w:line="240" w:lineRule="auto"/>
        <w:jc w:val="center"/>
        <w:rPr>
          <w:rFonts w:ascii="Times New Roman" w:hAnsi="Times New Roman" w:cs="Times New Roman"/>
          <w:sz w:val="24"/>
          <w:szCs w:val="24"/>
        </w:rPr>
      </w:pPr>
    </w:p>
    <w:p w14:paraId="57F19358" w14:textId="77777777" w:rsidR="00AC58F5" w:rsidRDefault="00AC58F5" w:rsidP="00EA4E0C">
      <w:pPr>
        <w:spacing w:after="0" w:line="240" w:lineRule="auto"/>
        <w:jc w:val="center"/>
        <w:rPr>
          <w:rFonts w:ascii="Times New Roman" w:hAnsi="Times New Roman" w:cs="Times New Roman"/>
          <w:sz w:val="24"/>
          <w:szCs w:val="24"/>
        </w:rPr>
      </w:pPr>
    </w:p>
    <w:p w14:paraId="01A7AA3A" w14:textId="0CA95A15" w:rsidR="00E04153" w:rsidRDefault="00E04153" w:rsidP="00AC58F5">
      <w:pPr>
        <w:spacing w:after="0" w:line="240" w:lineRule="auto"/>
        <w:jc w:val="center"/>
        <w:rPr>
          <w:rFonts w:ascii="Times New Roman" w:hAnsi="Times New Roman" w:cs="Times New Roman"/>
          <w:sz w:val="24"/>
          <w:szCs w:val="24"/>
        </w:rPr>
      </w:pPr>
      <w:r w:rsidRPr="00AC58F5">
        <w:rPr>
          <w:rFonts w:ascii="Times New Roman" w:hAnsi="Times New Roman" w:cs="Times New Roman"/>
          <w:sz w:val="24"/>
          <w:szCs w:val="24"/>
        </w:rPr>
        <w:t>APSPRIEDE AR PIEGĀDĀTĀJIEM</w:t>
      </w:r>
    </w:p>
    <w:p w14:paraId="347A0DD1" w14:textId="77777777" w:rsidR="00AC58F5" w:rsidRPr="00AC58F5" w:rsidRDefault="00AC58F5" w:rsidP="00AC58F5">
      <w:pPr>
        <w:spacing w:after="0" w:line="240" w:lineRule="auto"/>
        <w:jc w:val="center"/>
        <w:rPr>
          <w:rFonts w:ascii="Times New Roman" w:hAnsi="Times New Roman" w:cs="Times New Roman"/>
          <w:sz w:val="24"/>
          <w:szCs w:val="24"/>
        </w:rPr>
      </w:pPr>
    </w:p>
    <w:p w14:paraId="183A117E" w14:textId="67672C7B" w:rsidR="00E04153" w:rsidRPr="00AC58F5" w:rsidRDefault="00E04153" w:rsidP="00AC58F5">
      <w:pPr>
        <w:spacing w:after="0" w:line="240" w:lineRule="auto"/>
        <w:jc w:val="center"/>
        <w:rPr>
          <w:rFonts w:ascii="Times New Roman" w:hAnsi="Times New Roman" w:cs="Times New Roman"/>
          <w:sz w:val="24"/>
          <w:szCs w:val="24"/>
        </w:rPr>
      </w:pPr>
      <w:r w:rsidRPr="00AC58F5">
        <w:rPr>
          <w:rFonts w:ascii="Times New Roman" w:hAnsi="Times New Roman" w:cs="Times New Roman"/>
          <w:sz w:val="24"/>
          <w:szCs w:val="24"/>
        </w:rPr>
        <w:t>atklāta</w:t>
      </w:r>
      <w:r w:rsidR="00EA4E0C" w:rsidRPr="00AC58F5">
        <w:rPr>
          <w:rFonts w:ascii="Times New Roman" w:hAnsi="Times New Roman" w:cs="Times New Roman"/>
          <w:sz w:val="24"/>
          <w:szCs w:val="24"/>
        </w:rPr>
        <w:t>is</w:t>
      </w:r>
      <w:r w:rsidRPr="00AC58F5">
        <w:rPr>
          <w:rFonts w:ascii="Times New Roman" w:hAnsi="Times New Roman" w:cs="Times New Roman"/>
          <w:sz w:val="24"/>
          <w:szCs w:val="24"/>
        </w:rPr>
        <w:t xml:space="preserve"> konkurs</w:t>
      </w:r>
      <w:r w:rsidR="00EA4E0C" w:rsidRPr="00AC58F5">
        <w:rPr>
          <w:rFonts w:ascii="Times New Roman" w:hAnsi="Times New Roman" w:cs="Times New Roman"/>
          <w:sz w:val="24"/>
          <w:szCs w:val="24"/>
        </w:rPr>
        <w:t>s</w:t>
      </w:r>
    </w:p>
    <w:p w14:paraId="31735D73" w14:textId="2FD3F095" w:rsidR="00EA4E0C" w:rsidRPr="00AC58F5" w:rsidRDefault="00EA4E0C" w:rsidP="00AC58F5">
      <w:pPr>
        <w:spacing w:after="0" w:line="240" w:lineRule="auto"/>
        <w:ind w:right="-57"/>
        <w:jc w:val="center"/>
        <w:rPr>
          <w:rFonts w:ascii="Times New Roman" w:hAnsi="Times New Roman" w:cs="Times New Roman"/>
          <w:b/>
          <w:sz w:val="24"/>
          <w:szCs w:val="24"/>
        </w:rPr>
      </w:pPr>
      <w:r w:rsidRPr="00AC58F5">
        <w:rPr>
          <w:rFonts w:ascii="Times New Roman" w:hAnsi="Times New Roman" w:cs="Times New Roman"/>
          <w:b/>
          <w:sz w:val="24"/>
          <w:szCs w:val="24"/>
        </w:rPr>
        <w:t>“</w:t>
      </w:r>
      <w:r w:rsidR="00AC58F5" w:rsidRPr="00AC58F5">
        <w:rPr>
          <w:rFonts w:ascii="Times New Roman" w:hAnsi="Times New Roman" w:cs="Times New Roman"/>
          <w:b/>
          <w:sz w:val="24"/>
          <w:szCs w:val="24"/>
        </w:rPr>
        <w:t>Kuģu satiksmes vadības sistēmas atjaunošana Ventspils un Liepājas ostās”</w:t>
      </w:r>
    </w:p>
    <w:p w14:paraId="0D5C31C5" w14:textId="34C119D0" w:rsidR="00A65B0C" w:rsidRDefault="00EA4E0C" w:rsidP="00AC58F5">
      <w:pPr>
        <w:spacing w:after="0" w:line="240" w:lineRule="auto"/>
        <w:ind w:right="-57"/>
        <w:jc w:val="center"/>
        <w:rPr>
          <w:rFonts w:ascii="Times New Roman" w:hAnsi="Times New Roman" w:cs="Times New Roman"/>
          <w:b/>
          <w:sz w:val="24"/>
          <w:szCs w:val="24"/>
        </w:rPr>
      </w:pPr>
      <w:r w:rsidRPr="00AC58F5">
        <w:rPr>
          <w:rFonts w:ascii="Times New Roman" w:hAnsi="Times New Roman" w:cs="Times New Roman"/>
          <w:b/>
          <w:sz w:val="24"/>
          <w:szCs w:val="24"/>
        </w:rPr>
        <w:t xml:space="preserve">iepirkuma identifikācijas </w:t>
      </w:r>
      <w:r w:rsidR="00A27268" w:rsidRPr="00AC58F5">
        <w:rPr>
          <w:rFonts w:ascii="Times New Roman" w:hAnsi="Times New Roman" w:cs="Times New Roman"/>
          <w:b/>
          <w:sz w:val="24"/>
          <w:szCs w:val="24"/>
        </w:rPr>
        <w:t xml:space="preserve"> </w:t>
      </w:r>
      <w:r w:rsidRPr="00AC58F5">
        <w:rPr>
          <w:rFonts w:ascii="Times New Roman" w:hAnsi="Times New Roman" w:cs="Times New Roman"/>
          <w:b/>
          <w:sz w:val="24"/>
          <w:szCs w:val="24"/>
        </w:rPr>
        <w:t>Nr. VBOP 2025/</w:t>
      </w:r>
      <w:r w:rsidR="00AC58F5" w:rsidRPr="00AC58F5">
        <w:rPr>
          <w:rFonts w:ascii="Times New Roman" w:hAnsi="Times New Roman" w:cs="Times New Roman"/>
          <w:b/>
          <w:sz w:val="24"/>
          <w:szCs w:val="24"/>
        </w:rPr>
        <w:t>37</w:t>
      </w:r>
      <w:r w:rsidR="00A27268" w:rsidRPr="00AC58F5">
        <w:rPr>
          <w:rFonts w:ascii="Times New Roman" w:hAnsi="Times New Roman" w:cs="Times New Roman"/>
          <w:b/>
          <w:sz w:val="24"/>
          <w:szCs w:val="24"/>
        </w:rPr>
        <w:t>KF</w:t>
      </w:r>
      <w:r w:rsidRPr="00AC58F5">
        <w:rPr>
          <w:rFonts w:ascii="Times New Roman" w:hAnsi="Times New Roman" w:cs="Times New Roman"/>
          <w:b/>
          <w:sz w:val="24"/>
          <w:szCs w:val="24"/>
        </w:rPr>
        <w:t>_A</w:t>
      </w:r>
      <w:r w:rsidR="003F614C" w:rsidRPr="00AC58F5">
        <w:rPr>
          <w:rFonts w:ascii="Times New Roman" w:hAnsi="Times New Roman" w:cs="Times New Roman"/>
          <w:b/>
          <w:sz w:val="24"/>
          <w:szCs w:val="24"/>
        </w:rPr>
        <w:t>pspriede</w:t>
      </w:r>
    </w:p>
    <w:p w14:paraId="0D6C3553" w14:textId="77777777" w:rsidR="004C21C8" w:rsidRDefault="004C21C8" w:rsidP="00AC58F5">
      <w:pPr>
        <w:spacing w:after="0" w:line="240" w:lineRule="auto"/>
        <w:ind w:right="-57"/>
        <w:jc w:val="center"/>
        <w:rPr>
          <w:rFonts w:ascii="Times New Roman" w:hAnsi="Times New Roman" w:cs="Times New Roman"/>
          <w:b/>
          <w:sz w:val="24"/>
          <w:szCs w:val="24"/>
        </w:rPr>
      </w:pPr>
    </w:p>
    <w:p w14:paraId="6588803F" w14:textId="77777777" w:rsidR="004C21C8" w:rsidRDefault="004C21C8" w:rsidP="00AC58F5">
      <w:pPr>
        <w:spacing w:after="0" w:line="240" w:lineRule="auto"/>
        <w:ind w:right="-57"/>
        <w:jc w:val="center"/>
        <w:rPr>
          <w:rFonts w:ascii="Times New Roman" w:hAnsi="Times New Roman" w:cs="Times New Roman"/>
          <w:b/>
          <w:sz w:val="24"/>
          <w:szCs w:val="24"/>
        </w:rPr>
      </w:pPr>
    </w:p>
    <w:p w14:paraId="435A57BC" w14:textId="77777777" w:rsidR="004C21C8" w:rsidRDefault="004C21C8" w:rsidP="00AC58F5">
      <w:pPr>
        <w:spacing w:after="0" w:line="240" w:lineRule="auto"/>
        <w:ind w:right="-57"/>
        <w:jc w:val="center"/>
        <w:rPr>
          <w:rFonts w:ascii="Times New Roman" w:hAnsi="Times New Roman" w:cs="Times New Roman"/>
          <w:b/>
          <w:sz w:val="24"/>
          <w:szCs w:val="24"/>
        </w:rPr>
      </w:pPr>
    </w:p>
    <w:tbl>
      <w:tblPr>
        <w:tblStyle w:val="TableGrid"/>
        <w:tblW w:w="9000" w:type="dxa"/>
        <w:tblLook w:val="04A0" w:firstRow="1" w:lastRow="0" w:firstColumn="1" w:lastColumn="0" w:noHBand="0" w:noVBand="1"/>
      </w:tblPr>
      <w:tblGrid>
        <w:gridCol w:w="2757"/>
        <w:gridCol w:w="6243"/>
      </w:tblGrid>
      <w:tr w:rsidR="004C21C8" w:rsidRPr="00D02B63" w14:paraId="5944C359" w14:textId="77777777" w:rsidTr="00A93A47">
        <w:trPr>
          <w:trHeight w:val="842"/>
        </w:trPr>
        <w:tc>
          <w:tcPr>
            <w:tcW w:w="2757" w:type="dxa"/>
          </w:tcPr>
          <w:p w14:paraId="45E8742F" w14:textId="77777777" w:rsidR="004C21C8" w:rsidRPr="00D02B63" w:rsidRDefault="004C21C8" w:rsidP="00A93A47">
            <w:pPr>
              <w:rPr>
                <w:rFonts w:ascii="Times New Roman" w:hAnsi="Times New Roman" w:cs="Times New Roman"/>
                <w:bCs/>
                <w:sz w:val="24"/>
                <w:szCs w:val="24"/>
              </w:rPr>
            </w:pPr>
            <w:r w:rsidRPr="00A65B0C">
              <w:rPr>
                <w:rFonts w:ascii="Times New Roman" w:hAnsi="Times New Roman" w:cs="Times New Roman"/>
                <w:sz w:val="24"/>
                <w:szCs w:val="24"/>
              </w:rPr>
              <w:t>Pasūtītājs</w:t>
            </w:r>
          </w:p>
        </w:tc>
        <w:tc>
          <w:tcPr>
            <w:tcW w:w="6243" w:type="dxa"/>
          </w:tcPr>
          <w:p w14:paraId="01BE1488" w14:textId="77777777" w:rsidR="004C21C8" w:rsidRPr="00A65B0C" w:rsidRDefault="004C21C8" w:rsidP="00A93A47">
            <w:pPr>
              <w:jc w:val="both"/>
              <w:rPr>
                <w:rFonts w:ascii="Times New Roman" w:hAnsi="Times New Roman" w:cs="Times New Roman"/>
                <w:sz w:val="24"/>
                <w:szCs w:val="24"/>
              </w:rPr>
            </w:pPr>
            <w:r w:rsidRPr="00A65B0C">
              <w:rPr>
                <w:rFonts w:ascii="Times New Roman" w:hAnsi="Times New Roman" w:cs="Times New Roman"/>
                <w:sz w:val="24"/>
                <w:szCs w:val="24"/>
              </w:rPr>
              <w:t>Ventspils brīvostas pārvalde</w:t>
            </w:r>
          </w:p>
          <w:p w14:paraId="742656A2" w14:textId="77777777" w:rsidR="004C21C8" w:rsidRPr="00A65B0C" w:rsidRDefault="004C21C8" w:rsidP="00A93A47">
            <w:pPr>
              <w:jc w:val="both"/>
              <w:rPr>
                <w:rFonts w:ascii="Times New Roman" w:hAnsi="Times New Roman" w:cs="Times New Roman"/>
                <w:sz w:val="24"/>
                <w:szCs w:val="24"/>
              </w:rPr>
            </w:pPr>
            <w:proofErr w:type="spellStart"/>
            <w:r w:rsidRPr="00A65B0C">
              <w:rPr>
                <w:rFonts w:ascii="Times New Roman" w:hAnsi="Times New Roman" w:cs="Times New Roman"/>
                <w:sz w:val="24"/>
                <w:szCs w:val="24"/>
              </w:rPr>
              <w:t>Reģ</w:t>
            </w:r>
            <w:proofErr w:type="spellEnd"/>
            <w:r w:rsidRPr="00A65B0C">
              <w:rPr>
                <w:rFonts w:ascii="Times New Roman" w:hAnsi="Times New Roman" w:cs="Times New Roman"/>
                <w:sz w:val="24"/>
                <w:szCs w:val="24"/>
              </w:rPr>
              <w:t>. Nr. 90000284085</w:t>
            </w:r>
          </w:p>
          <w:p w14:paraId="7DD66BA7" w14:textId="77777777" w:rsidR="004C21C8" w:rsidRPr="00A65B0C" w:rsidRDefault="004C21C8" w:rsidP="00A93A47">
            <w:pPr>
              <w:jc w:val="both"/>
              <w:rPr>
                <w:rFonts w:ascii="Times New Roman" w:hAnsi="Times New Roman" w:cs="Times New Roman"/>
                <w:sz w:val="24"/>
                <w:szCs w:val="24"/>
              </w:rPr>
            </w:pPr>
            <w:r w:rsidRPr="00A65B0C">
              <w:rPr>
                <w:rFonts w:ascii="Times New Roman" w:hAnsi="Times New Roman" w:cs="Times New Roman"/>
                <w:sz w:val="24"/>
                <w:szCs w:val="24"/>
              </w:rPr>
              <w:t>Jāņa iela 19, Ventspilī, LV-3601</w:t>
            </w:r>
          </w:p>
          <w:p w14:paraId="25ECDEAE" w14:textId="77777777" w:rsidR="004C21C8" w:rsidRDefault="004C21C8" w:rsidP="00A93A47">
            <w:pPr>
              <w:jc w:val="both"/>
              <w:rPr>
                <w:rFonts w:ascii="Times New Roman" w:hAnsi="Times New Roman" w:cs="Times New Roman"/>
                <w:sz w:val="24"/>
                <w:szCs w:val="24"/>
              </w:rPr>
            </w:pPr>
            <w:r w:rsidRPr="00A65B0C">
              <w:rPr>
                <w:rFonts w:ascii="Times New Roman" w:hAnsi="Times New Roman" w:cs="Times New Roman"/>
                <w:sz w:val="24"/>
                <w:szCs w:val="24"/>
              </w:rPr>
              <w:t xml:space="preserve">Kontaktpersona: </w:t>
            </w:r>
            <w:r>
              <w:rPr>
                <w:rFonts w:ascii="Times New Roman" w:hAnsi="Times New Roman" w:cs="Times New Roman"/>
                <w:sz w:val="24"/>
                <w:szCs w:val="24"/>
              </w:rPr>
              <w:t>Arnis Mazalis,</w:t>
            </w:r>
            <w:r w:rsidRPr="00A65B0C">
              <w:rPr>
                <w:rFonts w:ascii="Times New Roman" w:hAnsi="Times New Roman" w:cs="Times New Roman"/>
                <w:sz w:val="24"/>
                <w:szCs w:val="24"/>
              </w:rPr>
              <w:t xml:space="preserve"> tālr. numurs 636023</w:t>
            </w:r>
            <w:r>
              <w:rPr>
                <w:rFonts w:ascii="Times New Roman" w:hAnsi="Times New Roman" w:cs="Times New Roman"/>
                <w:sz w:val="24"/>
                <w:szCs w:val="24"/>
              </w:rPr>
              <w:t>20</w:t>
            </w:r>
            <w:r w:rsidRPr="00A65B0C">
              <w:rPr>
                <w:rFonts w:ascii="Times New Roman" w:hAnsi="Times New Roman" w:cs="Times New Roman"/>
                <w:sz w:val="24"/>
                <w:szCs w:val="24"/>
              </w:rPr>
              <w:t xml:space="preserve"> </w:t>
            </w:r>
          </w:p>
          <w:p w14:paraId="0B277A2D" w14:textId="77777777" w:rsidR="004C21C8" w:rsidRDefault="004C21C8" w:rsidP="00A93A47">
            <w:pPr>
              <w:jc w:val="both"/>
            </w:pPr>
            <w:r w:rsidRPr="00A65B0C">
              <w:rPr>
                <w:rFonts w:ascii="Times New Roman" w:hAnsi="Times New Roman" w:cs="Times New Roman"/>
                <w:sz w:val="24"/>
                <w:szCs w:val="24"/>
              </w:rPr>
              <w:t>e-pasta adrese</w:t>
            </w:r>
            <w:r>
              <w:rPr>
                <w:rFonts w:ascii="Times New Roman" w:hAnsi="Times New Roman" w:cs="Times New Roman"/>
                <w:sz w:val="24"/>
                <w:szCs w:val="24"/>
              </w:rPr>
              <w:t xml:space="preserve"> saziņai:</w:t>
            </w:r>
            <w:r w:rsidRPr="00A65B0C">
              <w:rPr>
                <w:rFonts w:ascii="Times New Roman" w:hAnsi="Times New Roman" w:cs="Times New Roman"/>
                <w:sz w:val="24"/>
                <w:szCs w:val="24"/>
              </w:rPr>
              <w:t xml:space="preserve"> </w:t>
            </w:r>
            <w:hyperlink r:id="rId7" w:history="1">
              <w:r w:rsidRPr="00A65B0C">
                <w:rPr>
                  <w:rStyle w:val="Hyperlink"/>
                  <w:rFonts w:ascii="Times New Roman" w:hAnsi="Times New Roman" w:cs="Times New Roman"/>
                  <w:sz w:val="24"/>
                  <w:szCs w:val="24"/>
                </w:rPr>
                <w:t>iepirkumi@vbp.lv</w:t>
              </w:r>
            </w:hyperlink>
          </w:p>
          <w:p w14:paraId="0486D656" w14:textId="77777777" w:rsidR="004C21C8" w:rsidRDefault="004C21C8" w:rsidP="00A93A47">
            <w:pPr>
              <w:jc w:val="both"/>
              <w:rPr>
                <w:rFonts w:ascii="Times New Roman" w:hAnsi="Times New Roman" w:cs="Times New Roman"/>
              </w:rPr>
            </w:pPr>
          </w:p>
          <w:p w14:paraId="43D94761" w14:textId="77777777" w:rsidR="004C21C8" w:rsidRDefault="004C21C8" w:rsidP="00A93A47">
            <w:pPr>
              <w:jc w:val="both"/>
              <w:rPr>
                <w:rFonts w:ascii="Times New Roman" w:hAnsi="Times New Roman" w:cs="Times New Roman"/>
              </w:rPr>
            </w:pPr>
          </w:p>
          <w:p w14:paraId="01943F8A" w14:textId="77777777" w:rsidR="004C21C8" w:rsidRPr="00A30C54" w:rsidRDefault="004C21C8" w:rsidP="00A93A47">
            <w:pPr>
              <w:ind w:right="-57"/>
              <w:jc w:val="both"/>
              <w:rPr>
                <w:rFonts w:ascii="Times New Roman" w:hAnsi="Times New Roman" w:cs="Times New Roman"/>
                <w:sz w:val="24"/>
                <w:szCs w:val="24"/>
              </w:rPr>
            </w:pPr>
            <w:r w:rsidRPr="00A30C54">
              <w:rPr>
                <w:rFonts w:ascii="Times New Roman" w:hAnsi="Times New Roman" w:cs="Times New Roman"/>
                <w:sz w:val="24"/>
                <w:szCs w:val="24"/>
              </w:rPr>
              <w:t xml:space="preserve">Liepājas speciālās ekonomiskās zonas pārvalde, </w:t>
            </w:r>
          </w:p>
          <w:p w14:paraId="2F5648CE" w14:textId="77777777" w:rsidR="004C21C8" w:rsidRPr="00A30C54" w:rsidRDefault="004C21C8" w:rsidP="00A93A47">
            <w:pPr>
              <w:ind w:right="-57"/>
              <w:jc w:val="both"/>
              <w:rPr>
                <w:rFonts w:ascii="Times New Roman" w:hAnsi="Times New Roman" w:cs="Times New Roman"/>
                <w:sz w:val="24"/>
                <w:szCs w:val="24"/>
              </w:rPr>
            </w:pPr>
            <w:proofErr w:type="spellStart"/>
            <w:r w:rsidRPr="00A30C54">
              <w:rPr>
                <w:rFonts w:ascii="Times New Roman" w:hAnsi="Times New Roman" w:cs="Times New Roman"/>
                <w:sz w:val="24"/>
                <w:szCs w:val="24"/>
              </w:rPr>
              <w:t>Reģ.Nr</w:t>
            </w:r>
            <w:proofErr w:type="spellEnd"/>
            <w:r w:rsidRPr="00A30C54">
              <w:rPr>
                <w:rFonts w:ascii="Times New Roman" w:hAnsi="Times New Roman" w:cs="Times New Roman"/>
                <w:sz w:val="24"/>
                <w:szCs w:val="24"/>
              </w:rPr>
              <w:t xml:space="preserve">. 90000329402, </w:t>
            </w:r>
          </w:p>
          <w:p w14:paraId="1C33DF1B" w14:textId="77777777" w:rsidR="004C21C8" w:rsidRPr="00A30C54" w:rsidRDefault="004C21C8" w:rsidP="00A93A47">
            <w:pPr>
              <w:ind w:right="-57"/>
              <w:jc w:val="both"/>
              <w:rPr>
                <w:rFonts w:ascii="Times New Roman" w:hAnsi="Times New Roman" w:cs="Times New Roman"/>
                <w:sz w:val="24"/>
                <w:szCs w:val="24"/>
              </w:rPr>
            </w:pPr>
            <w:r w:rsidRPr="00A30C54">
              <w:rPr>
                <w:rFonts w:ascii="Times New Roman" w:hAnsi="Times New Roman" w:cs="Times New Roman"/>
                <w:sz w:val="24"/>
                <w:szCs w:val="24"/>
              </w:rPr>
              <w:t>Fēniksa iela 4, Liepāja, LV-3401.</w:t>
            </w:r>
          </w:p>
          <w:p w14:paraId="0D02CCBE" w14:textId="77777777" w:rsidR="004C21C8" w:rsidRPr="00A30C54" w:rsidRDefault="004C21C8" w:rsidP="00A93A47">
            <w:pPr>
              <w:jc w:val="both"/>
              <w:rPr>
                <w:rFonts w:ascii="Times New Roman" w:hAnsi="Times New Roman" w:cs="Times New Roman"/>
                <w:sz w:val="24"/>
                <w:szCs w:val="24"/>
              </w:rPr>
            </w:pPr>
            <w:r w:rsidRPr="00A30C54">
              <w:rPr>
                <w:rFonts w:ascii="Times New Roman" w:hAnsi="Times New Roman" w:cs="Times New Roman"/>
                <w:sz w:val="24"/>
                <w:szCs w:val="24"/>
              </w:rPr>
              <w:t xml:space="preserve">Kontaktpersona: Gints </w:t>
            </w:r>
            <w:proofErr w:type="spellStart"/>
            <w:r w:rsidRPr="00A30C54">
              <w:rPr>
                <w:rFonts w:ascii="Times New Roman" w:hAnsi="Times New Roman" w:cs="Times New Roman"/>
                <w:sz w:val="24"/>
                <w:szCs w:val="24"/>
              </w:rPr>
              <w:t>Ažēns</w:t>
            </w:r>
            <w:proofErr w:type="spellEnd"/>
            <w:r w:rsidRPr="00A30C54">
              <w:rPr>
                <w:rFonts w:ascii="Times New Roman" w:hAnsi="Times New Roman" w:cs="Times New Roman"/>
                <w:sz w:val="24"/>
                <w:szCs w:val="24"/>
              </w:rPr>
              <w:t xml:space="preserve">, 26165198  </w:t>
            </w:r>
          </w:p>
          <w:p w14:paraId="3F753A27" w14:textId="77777777" w:rsidR="004C21C8" w:rsidRPr="00A30C54" w:rsidRDefault="004C21C8" w:rsidP="00A93A47">
            <w:pPr>
              <w:jc w:val="both"/>
              <w:rPr>
                <w:rFonts w:ascii="Times New Roman" w:hAnsi="Times New Roman" w:cs="Times New Roman"/>
                <w:sz w:val="24"/>
                <w:szCs w:val="24"/>
              </w:rPr>
            </w:pPr>
            <w:r w:rsidRPr="00A30C54">
              <w:rPr>
                <w:rFonts w:ascii="Times New Roman" w:hAnsi="Times New Roman" w:cs="Times New Roman"/>
                <w:sz w:val="24"/>
                <w:szCs w:val="24"/>
              </w:rPr>
              <w:t xml:space="preserve">e-pasta adrese saziņai: </w:t>
            </w:r>
            <w:hyperlink r:id="rId8" w:history="1">
              <w:r w:rsidRPr="00A30C54">
                <w:rPr>
                  <w:rStyle w:val="Hyperlink"/>
                  <w:rFonts w:ascii="Times New Roman" w:hAnsi="Times New Roman" w:cs="Times New Roman"/>
                  <w:sz w:val="24"/>
                  <w:szCs w:val="24"/>
                </w:rPr>
                <w:t>iepirkumi@vbp.lv</w:t>
              </w:r>
            </w:hyperlink>
          </w:p>
          <w:p w14:paraId="0F44B0F1" w14:textId="77777777" w:rsidR="004C21C8" w:rsidRPr="00D02B63" w:rsidRDefault="004C21C8" w:rsidP="00A93A47">
            <w:pPr>
              <w:pStyle w:val="BlockText"/>
              <w:spacing w:after="120"/>
              <w:ind w:left="0" w:right="-57"/>
              <w:jc w:val="both"/>
              <w:rPr>
                <w:szCs w:val="24"/>
              </w:rPr>
            </w:pPr>
          </w:p>
        </w:tc>
      </w:tr>
      <w:tr w:rsidR="004C21C8" w:rsidRPr="00D02B63" w14:paraId="0D21F0A0" w14:textId="77777777" w:rsidTr="00A93A47">
        <w:trPr>
          <w:trHeight w:val="842"/>
        </w:trPr>
        <w:tc>
          <w:tcPr>
            <w:tcW w:w="2757" w:type="dxa"/>
          </w:tcPr>
          <w:p w14:paraId="3E071735" w14:textId="77777777" w:rsidR="004C21C8" w:rsidRPr="00D02B63" w:rsidRDefault="004C21C8" w:rsidP="00A93A47">
            <w:pPr>
              <w:rPr>
                <w:rFonts w:ascii="Times New Roman" w:hAnsi="Times New Roman" w:cs="Times New Roman"/>
                <w:bCs/>
                <w:sz w:val="24"/>
                <w:szCs w:val="24"/>
              </w:rPr>
            </w:pPr>
            <w:r w:rsidRPr="00D02B63">
              <w:rPr>
                <w:rFonts w:ascii="Times New Roman" w:hAnsi="Times New Roman" w:cs="Times New Roman"/>
                <w:sz w:val="24"/>
                <w:szCs w:val="24"/>
              </w:rPr>
              <w:t>Ie</w:t>
            </w:r>
            <w:r>
              <w:rPr>
                <w:rFonts w:ascii="Times New Roman" w:hAnsi="Times New Roman" w:cs="Times New Roman"/>
                <w:sz w:val="24"/>
                <w:szCs w:val="24"/>
              </w:rPr>
              <w:t>pi</w:t>
            </w:r>
            <w:r w:rsidRPr="00D02B63">
              <w:rPr>
                <w:rFonts w:ascii="Times New Roman" w:hAnsi="Times New Roman" w:cs="Times New Roman"/>
                <w:sz w:val="24"/>
                <w:szCs w:val="24"/>
              </w:rPr>
              <w:t>rkuma priekšmets</w:t>
            </w:r>
          </w:p>
        </w:tc>
        <w:tc>
          <w:tcPr>
            <w:tcW w:w="6243" w:type="dxa"/>
          </w:tcPr>
          <w:p w14:paraId="311218FB" w14:textId="77777777" w:rsidR="004C21C8" w:rsidRDefault="004C21C8" w:rsidP="00A93A47">
            <w:pPr>
              <w:pStyle w:val="BlockText"/>
              <w:spacing w:after="120"/>
              <w:ind w:left="0" w:right="-57"/>
              <w:jc w:val="both"/>
              <w:rPr>
                <w:szCs w:val="24"/>
                <w:lang w:eastAsia="lv-LV"/>
              </w:rPr>
            </w:pPr>
            <w:r w:rsidRPr="00482612">
              <w:rPr>
                <w:szCs w:val="24"/>
                <w:lang w:eastAsia="lv-LV"/>
              </w:rPr>
              <w:t>Kuģu satiksmes vadības sistēmas atjaunošana Ventspils un Liepājas ostās</w:t>
            </w:r>
            <w:r>
              <w:rPr>
                <w:szCs w:val="24"/>
                <w:lang w:eastAsia="lv-LV"/>
              </w:rPr>
              <w:t>.</w:t>
            </w:r>
          </w:p>
          <w:p w14:paraId="1E552F06" w14:textId="77777777" w:rsidR="004C21C8" w:rsidRPr="00AE102F" w:rsidRDefault="004C21C8" w:rsidP="00A93A47">
            <w:pPr>
              <w:pStyle w:val="BlockText"/>
              <w:spacing w:after="120"/>
              <w:ind w:left="0" w:right="-57"/>
              <w:jc w:val="both"/>
              <w:rPr>
                <w:szCs w:val="24"/>
                <w:lang w:eastAsia="lv-LV"/>
              </w:rPr>
            </w:pPr>
          </w:p>
          <w:p w14:paraId="44F9CADA" w14:textId="77777777" w:rsidR="004C21C8" w:rsidRPr="00D02B63" w:rsidRDefault="004C21C8" w:rsidP="00A93A47">
            <w:pPr>
              <w:pStyle w:val="BlockText"/>
              <w:ind w:left="0" w:right="-57"/>
              <w:jc w:val="both"/>
              <w:rPr>
                <w:bCs/>
                <w:szCs w:val="24"/>
              </w:rPr>
            </w:pPr>
            <w:r w:rsidRPr="00D02B63">
              <w:rPr>
                <w:bCs/>
                <w:szCs w:val="24"/>
              </w:rPr>
              <w:t>Iepirkums ir sadalīts daļās</w:t>
            </w:r>
            <w:r>
              <w:rPr>
                <w:bCs/>
                <w:szCs w:val="24"/>
              </w:rPr>
              <w:t>:</w:t>
            </w:r>
          </w:p>
          <w:p w14:paraId="3DE7E696" w14:textId="77777777" w:rsidR="004C21C8" w:rsidRPr="003023BC" w:rsidRDefault="004C21C8" w:rsidP="00A93A47">
            <w:pPr>
              <w:pStyle w:val="BlockText"/>
              <w:ind w:left="0" w:right="-57"/>
              <w:jc w:val="both"/>
              <w:rPr>
                <w:bCs/>
                <w:szCs w:val="24"/>
              </w:rPr>
            </w:pPr>
            <w:r w:rsidRPr="003023BC">
              <w:rPr>
                <w:bCs/>
                <w:szCs w:val="24"/>
              </w:rPr>
              <w:t>1.daļa –</w:t>
            </w:r>
            <w:r>
              <w:rPr>
                <w:bCs/>
                <w:szCs w:val="24"/>
              </w:rPr>
              <w:t xml:space="preserve"> Kuģu satiksmes vadības sistēmas atjaunošana Ventspils ostā</w:t>
            </w:r>
            <w:r>
              <w:rPr>
                <w:bCs/>
              </w:rPr>
              <w:t>.</w:t>
            </w:r>
          </w:p>
          <w:p w14:paraId="0485D6B9" w14:textId="77777777" w:rsidR="004C21C8" w:rsidRDefault="004C21C8" w:rsidP="00A93A47">
            <w:pPr>
              <w:pStyle w:val="BlockText"/>
              <w:ind w:left="0" w:right="-57"/>
              <w:jc w:val="both"/>
              <w:rPr>
                <w:rFonts w:eastAsia="Calibri"/>
                <w:szCs w:val="24"/>
              </w:rPr>
            </w:pPr>
            <w:r w:rsidRPr="003023BC">
              <w:rPr>
                <w:bCs/>
                <w:szCs w:val="24"/>
              </w:rPr>
              <w:t>2.daļa</w:t>
            </w:r>
            <w:r>
              <w:rPr>
                <w:bCs/>
                <w:szCs w:val="24"/>
              </w:rPr>
              <w:t xml:space="preserve"> – Kuģu satiksmes vadības sistēmas atjaunošana Liepājas ostā</w:t>
            </w:r>
            <w:r w:rsidRPr="003023BC">
              <w:rPr>
                <w:bCs/>
                <w:szCs w:val="24"/>
              </w:rPr>
              <w:t>.</w:t>
            </w:r>
            <w:r w:rsidRPr="00E8247D">
              <w:rPr>
                <w:rFonts w:eastAsia="Calibri"/>
                <w:szCs w:val="24"/>
              </w:rPr>
              <w:t xml:space="preserve"> </w:t>
            </w:r>
          </w:p>
          <w:p w14:paraId="1D8B1C99" w14:textId="77777777" w:rsidR="004C21C8" w:rsidRPr="00FF02E6" w:rsidRDefault="004C21C8" w:rsidP="00A93A47">
            <w:pPr>
              <w:pStyle w:val="BlockText"/>
              <w:spacing w:after="120"/>
              <w:ind w:left="0" w:right="-57"/>
              <w:jc w:val="both"/>
              <w:rPr>
                <w:bCs/>
                <w:szCs w:val="24"/>
              </w:rPr>
            </w:pPr>
            <w:r w:rsidRPr="00F51755">
              <w:rPr>
                <w:rFonts w:eastAsia="Calibri"/>
                <w:szCs w:val="24"/>
              </w:rPr>
              <w:t>Pretendents sagatavo un iesniedz piedāvājumu vienā variantā par abām daļām kopā.</w:t>
            </w:r>
          </w:p>
          <w:p w14:paraId="7CD4E58E" w14:textId="77777777" w:rsidR="004C21C8" w:rsidRDefault="004C21C8" w:rsidP="00A93A47">
            <w:pPr>
              <w:pStyle w:val="BlockText"/>
              <w:ind w:left="0" w:right="-57"/>
              <w:jc w:val="both"/>
              <w:rPr>
                <w:b/>
                <w:szCs w:val="24"/>
              </w:rPr>
            </w:pPr>
          </w:p>
          <w:p w14:paraId="0E777FD6" w14:textId="77777777" w:rsidR="004C21C8" w:rsidRPr="00D02B63" w:rsidRDefault="004C21C8" w:rsidP="00A93A47">
            <w:pPr>
              <w:pStyle w:val="BlockText"/>
              <w:ind w:left="0" w:right="-57"/>
              <w:jc w:val="both"/>
              <w:rPr>
                <w:bCs/>
                <w:szCs w:val="24"/>
              </w:rPr>
            </w:pPr>
            <w:r w:rsidRPr="00D02B63">
              <w:rPr>
                <w:bCs/>
                <w:szCs w:val="24"/>
              </w:rPr>
              <w:t>Iepirkuma izpildes termiņš:</w:t>
            </w:r>
          </w:p>
          <w:p w14:paraId="196FE2FA" w14:textId="77777777" w:rsidR="004C21C8" w:rsidRDefault="004C21C8" w:rsidP="00A93A47">
            <w:pPr>
              <w:pStyle w:val="BlockText"/>
              <w:ind w:left="0" w:right="-57"/>
              <w:jc w:val="both"/>
              <w:rPr>
                <w:szCs w:val="24"/>
              </w:rPr>
            </w:pPr>
            <w:r w:rsidRPr="0000650F">
              <w:rPr>
                <w:szCs w:val="24"/>
              </w:rPr>
              <w:t>Iepirkuma 1.daļa – 27 (divdesmit septiņi) mēneši no iepirkuma līguma noslēgšanas</w:t>
            </w:r>
            <w:r w:rsidRPr="00BE014C">
              <w:rPr>
                <w:szCs w:val="24"/>
              </w:rPr>
              <w:t xml:space="preserve"> </w:t>
            </w:r>
            <w:r>
              <w:rPr>
                <w:szCs w:val="24"/>
              </w:rPr>
              <w:t>dienas.</w:t>
            </w:r>
          </w:p>
          <w:p w14:paraId="74634711" w14:textId="77777777" w:rsidR="004C21C8" w:rsidRDefault="004C21C8" w:rsidP="00A93A47">
            <w:pPr>
              <w:pStyle w:val="BlockText"/>
              <w:spacing w:after="120"/>
              <w:ind w:left="0" w:right="-57"/>
              <w:jc w:val="both"/>
              <w:rPr>
                <w:szCs w:val="24"/>
              </w:rPr>
            </w:pPr>
            <w:r w:rsidRPr="0000650F">
              <w:rPr>
                <w:szCs w:val="24"/>
              </w:rPr>
              <w:t>Iepirkuma 2.daļa – 14 (četrpadsmit) mēneši no iepirkuma līguma noslēgšanas dienas.</w:t>
            </w:r>
          </w:p>
          <w:p w14:paraId="1FAA4480" w14:textId="77777777" w:rsidR="004C21C8" w:rsidRDefault="004C21C8" w:rsidP="00A93A47">
            <w:pPr>
              <w:ind w:right="-57"/>
              <w:jc w:val="both"/>
              <w:rPr>
                <w:rFonts w:ascii="Times New Roman" w:hAnsi="Times New Roman" w:cs="Times New Roman"/>
                <w:sz w:val="24"/>
                <w:szCs w:val="24"/>
              </w:rPr>
            </w:pPr>
          </w:p>
          <w:p w14:paraId="62129693" w14:textId="77777777" w:rsidR="004C21C8" w:rsidRDefault="004C21C8" w:rsidP="00A93A47">
            <w:pPr>
              <w:ind w:right="-57"/>
              <w:jc w:val="both"/>
              <w:rPr>
                <w:rFonts w:ascii="Times New Roman" w:hAnsi="Times New Roman" w:cs="Times New Roman"/>
                <w:sz w:val="24"/>
                <w:szCs w:val="24"/>
              </w:rPr>
            </w:pPr>
            <w:r w:rsidRPr="00D02B63">
              <w:rPr>
                <w:rFonts w:ascii="Times New Roman" w:hAnsi="Times New Roman" w:cs="Times New Roman"/>
                <w:sz w:val="24"/>
                <w:szCs w:val="24"/>
              </w:rPr>
              <w:t xml:space="preserve">Piegādes, pakalpojumi un būvdarbi tiks veikti un finansēti Eiropas Savienības kohēzijas politikas programmas 2021.-2027.gadam 3.1.prioritātes “Ilgtspējīga TEN-T infrastruktūra” 3.1.1. specifiskā atbalsta mērķa “Attīstīt ilgtspējīgu, pret klimatu izturīgu, inteliģentu, drošu un </w:t>
            </w:r>
            <w:proofErr w:type="spellStart"/>
            <w:r w:rsidRPr="00D02B63">
              <w:rPr>
                <w:rFonts w:ascii="Times New Roman" w:hAnsi="Times New Roman" w:cs="Times New Roman"/>
                <w:sz w:val="24"/>
                <w:szCs w:val="24"/>
              </w:rPr>
              <w:t>vairākveidu</w:t>
            </w:r>
            <w:proofErr w:type="spellEnd"/>
            <w:r w:rsidRPr="00D02B63">
              <w:rPr>
                <w:rFonts w:ascii="Times New Roman" w:hAnsi="Times New Roman" w:cs="Times New Roman"/>
                <w:sz w:val="24"/>
                <w:szCs w:val="24"/>
              </w:rPr>
              <w:t xml:space="preserve"> TEN-T infrastruktūru” 3.1.1.6.pasākuma “Lielo ostu publiskās infrastruktūras attīstība” ietvaros. </w:t>
            </w:r>
          </w:p>
          <w:p w14:paraId="7E276874" w14:textId="77777777" w:rsidR="004C21C8" w:rsidRDefault="004C21C8" w:rsidP="00A93A47">
            <w:pPr>
              <w:ind w:right="-57"/>
              <w:jc w:val="both"/>
              <w:rPr>
                <w:szCs w:val="24"/>
              </w:rPr>
            </w:pPr>
          </w:p>
          <w:p w14:paraId="48DF2F4A" w14:textId="77777777" w:rsidR="004C21C8" w:rsidRPr="00205D51" w:rsidRDefault="004C21C8" w:rsidP="00A93A47">
            <w:pPr>
              <w:ind w:right="-57"/>
              <w:jc w:val="both"/>
              <w:rPr>
                <w:rFonts w:ascii="Times New Roman" w:hAnsi="Times New Roman" w:cs="Times New Roman"/>
                <w:sz w:val="24"/>
                <w:szCs w:val="24"/>
              </w:rPr>
            </w:pPr>
            <w:r w:rsidRPr="00205D51">
              <w:rPr>
                <w:rFonts w:ascii="Times New Roman" w:hAnsi="Times New Roman" w:cs="Times New Roman"/>
                <w:sz w:val="24"/>
                <w:szCs w:val="24"/>
              </w:rPr>
              <w:t xml:space="preserve">Piedāvājuma nodrošinājums noteikts 10’000 EUR (desmit tūkstoši </w:t>
            </w:r>
            <w:proofErr w:type="spellStart"/>
            <w:r w:rsidRPr="00205D51">
              <w:rPr>
                <w:rFonts w:ascii="Times New Roman" w:hAnsi="Times New Roman" w:cs="Times New Roman"/>
                <w:sz w:val="24"/>
                <w:szCs w:val="24"/>
              </w:rPr>
              <w:t>euro</w:t>
            </w:r>
            <w:proofErr w:type="spellEnd"/>
            <w:r w:rsidRPr="00205D51">
              <w:rPr>
                <w:rFonts w:ascii="Times New Roman" w:hAnsi="Times New Roman" w:cs="Times New Roman"/>
                <w:sz w:val="24"/>
                <w:szCs w:val="24"/>
              </w:rPr>
              <w:t>) apmērā.</w:t>
            </w:r>
          </w:p>
          <w:p w14:paraId="24F9F866" w14:textId="77777777" w:rsidR="004C21C8" w:rsidRDefault="004C21C8" w:rsidP="00A93A47">
            <w:pPr>
              <w:pStyle w:val="BlockText"/>
              <w:spacing w:after="120"/>
              <w:ind w:left="0" w:right="-57"/>
              <w:jc w:val="both"/>
              <w:rPr>
                <w:szCs w:val="24"/>
              </w:rPr>
            </w:pPr>
          </w:p>
          <w:p w14:paraId="38D5CE28" w14:textId="77777777" w:rsidR="004C21C8" w:rsidRDefault="004C21C8" w:rsidP="00A93A47">
            <w:pPr>
              <w:pStyle w:val="BlockText"/>
              <w:spacing w:after="120"/>
              <w:ind w:left="0" w:right="-57"/>
              <w:jc w:val="both"/>
              <w:rPr>
                <w:szCs w:val="24"/>
              </w:rPr>
            </w:pPr>
          </w:p>
          <w:p w14:paraId="3525FB2E" w14:textId="77777777" w:rsidR="004C21C8" w:rsidRPr="00D02B63" w:rsidRDefault="004C21C8" w:rsidP="00A93A47">
            <w:pPr>
              <w:pStyle w:val="BlockText"/>
              <w:spacing w:after="120"/>
              <w:ind w:left="0" w:right="-57"/>
              <w:jc w:val="both"/>
              <w:rPr>
                <w:szCs w:val="24"/>
              </w:rPr>
            </w:pPr>
          </w:p>
        </w:tc>
      </w:tr>
      <w:tr w:rsidR="004C21C8" w:rsidRPr="00D02B63" w14:paraId="32023150" w14:textId="77777777" w:rsidTr="00A93A47">
        <w:trPr>
          <w:trHeight w:val="842"/>
        </w:trPr>
        <w:tc>
          <w:tcPr>
            <w:tcW w:w="2757" w:type="dxa"/>
          </w:tcPr>
          <w:p w14:paraId="6A18E697" w14:textId="77777777" w:rsidR="004C21C8" w:rsidRPr="00D02B63" w:rsidRDefault="004C21C8" w:rsidP="00A93A47">
            <w:pPr>
              <w:rPr>
                <w:rFonts w:ascii="Times New Roman" w:hAnsi="Times New Roman" w:cs="Times New Roman"/>
                <w:bCs/>
                <w:sz w:val="24"/>
                <w:szCs w:val="24"/>
              </w:rPr>
            </w:pPr>
            <w:r w:rsidRPr="00AC58F5">
              <w:rPr>
                <w:rFonts w:ascii="Times New Roman" w:hAnsi="Times New Roman" w:cs="Times New Roman"/>
                <w:bCs/>
                <w:sz w:val="24"/>
                <w:szCs w:val="24"/>
              </w:rPr>
              <w:lastRenderedPageBreak/>
              <w:t>Obligāta ieinteresēto pretendentu sanāksme</w:t>
            </w:r>
          </w:p>
        </w:tc>
        <w:tc>
          <w:tcPr>
            <w:tcW w:w="6243" w:type="dxa"/>
          </w:tcPr>
          <w:p w14:paraId="58531F19" w14:textId="77777777" w:rsidR="004C21C8" w:rsidRPr="004C21C8" w:rsidRDefault="004C21C8" w:rsidP="004C21C8">
            <w:pPr>
              <w:ind w:right="-57"/>
              <w:jc w:val="both"/>
              <w:rPr>
                <w:rFonts w:ascii="Times New Roman" w:hAnsi="Times New Roman" w:cs="Times New Roman"/>
                <w:sz w:val="24"/>
                <w:szCs w:val="24"/>
              </w:rPr>
            </w:pPr>
            <w:r w:rsidRPr="004C21C8">
              <w:rPr>
                <w:rFonts w:ascii="Times New Roman" w:hAnsi="Times New Roman" w:cs="Times New Roman"/>
                <w:sz w:val="24"/>
                <w:szCs w:val="24"/>
              </w:rPr>
              <w:t xml:space="preserve">Pirms piedāvājumu iesniegšanas termiņa Pasūtītājs/-i rīko obligātu ieinteresēto pretendentu sanāksmi/-es Iepirkuma objektu apskatei: </w:t>
            </w:r>
          </w:p>
          <w:p w14:paraId="07DCDFAC" w14:textId="77777777" w:rsidR="004C21C8" w:rsidRPr="004C21C8" w:rsidRDefault="004C21C8" w:rsidP="004C21C8">
            <w:pPr>
              <w:pStyle w:val="BlockText"/>
              <w:tabs>
                <w:tab w:val="left" w:pos="1808"/>
                <w:tab w:val="left" w:pos="1950"/>
              </w:tabs>
              <w:ind w:left="0" w:right="-57"/>
              <w:jc w:val="both"/>
              <w:rPr>
                <w:szCs w:val="24"/>
              </w:rPr>
            </w:pPr>
            <w:r w:rsidRPr="004C21C8">
              <w:rPr>
                <w:szCs w:val="24"/>
              </w:rPr>
              <w:t xml:space="preserve">Ventspils ostas kapteiņa dienesta ēka </w:t>
            </w:r>
            <w:proofErr w:type="spellStart"/>
            <w:r w:rsidRPr="004C21C8">
              <w:rPr>
                <w:szCs w:val="24"/>
              </w:rPr>
              <w:t>K.Valdemāra</w:t>
            </w:r>
            <w:proofErr w:type="spellEnd"/>
            <w:r w:rsidRPr="004C21C8">
              <w:rPr>
                <w:szCs w:val="24"/>
              </w:rPr>
              <w:t xml:space="preserve"> iela 14, Ventspils (iepirkuma 1.daļa) un </w:t>
            </w:r>
          </w:p>
          <w:p w14:paraId="3F7D77F1" w14:textId="2A26A1F7" w:rsidR="004C21C8" w:rsidRPr="004C21C8" w:rsidRDefault="004C21C8" w:rsidP="004C21C8">
            <w:pPr>
              <w:pStyle w:val="BlockText"/>
              <w:tabs>
                <w:tab w:val="left" w:pos="1808"/>
                <w:tab w:val="left" w:pos="1950"/>
              </w:tabs>
              <w:ind w:left="0" w:right="-57"/>
              <w:jc w:val="both"/>
              <w:rPr>
                <w:szCs w:val="24"/>
              </w:rPr>
            </w:pPr>
            <w:r w:rsidRPr="004C21C8">
              <w:rPr>
                <w:szCs w:val="24"/>
              </w:rPr>
              <w:t>Liepājas ostas kapteiņa dienesta ēka Vecā ostmala 59, Liepāja (iep</w:t>
            </w:r>
            <w:r w:rsidR="00C24632">
              <w:rPr>
                <w:szCs w:val="24"/>
              </w:rPr>
              <w:t>i</w:t>
            </w:r>
            <w:r w:rsidRPr="004C21C8">
              <w:rPr>
                <w:szCs w:val="24"/>
              </w:rPr>
              <w:t>rkuma 2.daļa).</w:t>
            </w:r>
          </w:p>
          <w:p w14:paraId="4B6F23B4" w14:textId="77777777" w:rsidR="004C21C8" w:rsidRPr="00BF0DD9" w:rsidRDefault="004C21C8" w:rsidP="004C21C8">
            <w:pPr>
              <w:pStyle w:val="BlockText"/>
              <w:tabs>
                <w:tab w:val="left" w:pos="1808"/>
                <w:tab w:val="left" w:pos="1950"/>
              </w:tabs>
              <w:spacing w:after="120"/>
              <w:ind w:left="0" w:right="-57"/>
              <w:jc w:val="both"/>
              <w:rPr>
                <w:szCs w:val="24"/>
              </w:rPr>
            </w:pPr>
          </w:p>
          <w:p w14:paraId="01B9915A" w14:textId="77777777" w:rsidR="004C21C8" w:rsidRPr="00BF0DD9" w:rsidRDefault="004C21C8" w:rsidP="004C21C8">
            <w:pPr>
              <w:pStyle w:val="BlockText"/>
              <w:tabs>
                <w:tab w:val="left" w:pos="1808"/>
                <w:tab w:val="left" w:pos="1950"/>
              </w:tabs>
              <w:ind w:left="0" w:right="-57"/>
              <w:jc w:val="both"/>
              <w:rPr>
                <w:szCs w:val="24"/>
              </w:rPr>
            </w:pPr>
            <w:r w:rsidRPr="00BF0DD9">
              <w:rPr>
                <w:szCs w:val="24"/>
              </w:rPr>
              <w:t xml:space="preserve">Ierašanās diena un laiks iepriekš elektroniski jāsaskaņo ar Pasūtītāja kontaktpersonām: </w:t>
            </w:r>
          </w:p>
          <w:p w14:paraId="4709DED2" w14:textId="77777777" w:rsidR="004C21C8" w:rsidRPr="00BF0DD9" w:rsidRDefault="004C21C8" w:rsidP="004C21C8">
            <w:pPr>
              <w:pStyle w:val="BlockText"/>
              <w:tabs>
                <w:tab w:val="left" w:pos="1808"/>
                <w:tab w:val="left" w:pos="1950"/>
              </w:tabs>
              <w:ind w:left="0" w:right="-57"/>
              <w:jc w:val="both"/>
              <w:rPr>
                <w:szCs w:val="24"/>
              </w:rPr>
            </w:pPr>
            <w:r w:rsidRPr="00BF0DD9">
              <w:rPr>
                <w:szCs w:val="24"/>
              </w:rPr>
              <w:t>Ventspils brīvostas pārvaldes Informācijas tehnoloģiju nodaļas vadītājs Sergejs Harkovs, tālrunis: +37126044500 , e-pasta adrese: sergejs.harkovs@vbp.lv.</w:t>
            </w:r>
          </w:p>
          <w:p w14:paraId="60B5EFD0" w14:textId="77777777" w:rsidR="004C21C8" w:rsidRPr="00BF0DD9" w:rsidRDefault="004C21C8" w:rsidP="004C21C8">
            <w:pPr>
              <w:pStyle w:val="BlockText"/>
              <w:tabs>
                <w:tab w:val="left" w:pos="1808"/>
                <w:tab w:val="left" w:pos="1950"/>
              </w:tabs>
              <w:ind w:left="0" w:right="-57"/>
              <w:jc w:val="both"/>
              <w:rPr>
                <w:szCs w:val="24"/>
              </w:rPr>
            </w:pPr>
            <w:r w:rsidRPr="00BF0DD9">
              <w:rPr>
                <w:szCs w:val="24"/>
              </w:rPr>
              <w:t xml:space="preserve">Liepājas speciālās ekonomiskās zonas pārvaldes Liepājas ostas kapteinis Gints </w:t>
            </w:r>
            <w:proofErr w:type="spellStart"/>
            <w:r w:rsidRPr="00BF0DD9">
              <w:rPr>
                <w:szCs w:val="24"/>
              </w:rPr>
              <w:t>Ažēns</w:t>
            </w:r>
            <w:proofErr w:type="spellEnd"/>
            <w:r w:rsidRPr="00BF0DD9">
              <w:rPr>
                <w:szCs w:val="24"/>
              </w:rPr>
              <w:t xml:space="preserve">; 26165198 ; gints.azens@lsez.lv </w:t>
            </w:r>
          </w:p>
          <w:p w14:paraId="3EBDE105" w14:textId="77777777" w:rsidR="004C21C8" w:rsidRPr="00BF0DD9" w:rsidRDefault="004C21C8" w:rsidP="004C21C8">
            <w:pPr>
              <w:pStyle w:val="BlockText"/>
              <w:tabs>
                <w:tab w:val="left" w:pos="1808"/>
                <w:tab w:val="left" w:pos="1950"/>
              </w:tabs>
              <w:spacing w:after="120"/>
              <w:ind w:left="0" w:right="-57"/>
              <w:jc w:val="both"/>
              <w:rPr>
                <w:szCs w:val="24"/>
              </w:rPr>
            </w:pPr>
          </w:p>
          <w:p w14:paraId="156E4A38" w14:textId="4009CDEA" w:rsidR="004C21C8" w:rsidRPr="00BF0DD9" w:rsidRDefault="004C21C8" w:rsidP="004C21C8">
            <w:pPr>
              <w:pStyle w:val="BlockText"/>
              <w:tabs>
                <w:tab w:val="left" w:pos="1808"/>
                <w:tab w:val="left" w:pos="1950"/>
              </w:tabs>
              <w:spacing w:after="120"/>
              <w:ind w:left="0" w:right="-57"/>
              <w:jc w:val="both"/>
              <w:rPr>
                <w:szCs w:val="24"/>
              </w:rPr>
            </w:pPr>
            <w:r w:rsidRPr="00BF0DD9">
              <w:rPr>
                <w:szCs w:val="24"/>
              </w:rPr>
              <w:t>Ieinteresētais piegādātājs (par katru personu) pirms objektu apskates iesniedz konfidencialitātes apliecinājumu</w:t>
            </w:r>
            <w:r w:rsidR="004A7D24">
              <w:rPr>
                <w:szCs w:val="24"/>
              </w:rPr>
              <w:t>.</w:t>
            </w:r>
          </w:p>
          <w:p w14:paraId="4322122C" w14:textId="77777777" w:rsidR="004C21C8" w:rsidRPr="00BF0DD9" w:rsidRDefault="004C21C8" w:rsidP="004C21C8">
            <w:pPr>
              <w:pStyle w:val="BlockText"/>
              <w:tabs>
                <w:tab w:val="left" w:pos="1808"/>
                <w:tab w:val="left" w:pos="1950"/>
              </w:tabs>
              <w:spacing w:after="120"/>
              <w:ind w:left="0" w:right="-57"/>
              <w:jc w:val="both"/>
              <w:rPr>
                <w:szCs w:val="24"/>
              </w:rPr>
            </w:pPr>
            <w:r w:rsidRPr="00BF0DD9">
              <w:rPr>
                <w:szCs w:val="24"/>
              </w:rPr>
              <w:t>Pretendenti, kuri nebūs veikuši obligāto objekta apskati, tiks izslēgti no dalības iepirkuma procedūrā.</w:t>
            </w:r>
          </w:p>
          <w:p w14:paraId="0D1FF4EF" w14:textId="77777777" w:rsidR="004C21C8" w:rsidRPr="00BF0DD9" w:rsidRDefault="004C21C8" w:rsidP="004C21C8">
            <w:pPr>
              <w:pStyle w:val="BlockText"/>
              <w:tabs>
                <w:tab w:val="left" w:pos="1808"/>
                <w:tab w:val="left" w:pos="1950"/>
              </w:tabs>
              <w:spacing w:after="120"/>
              <w:ind w:left="0" w:right="-57"/>
              <w:jc w:val="both"/>
              <w:rPr>
                <w:szCs w:val="24"/>
              </w:rPr>
            </w:pPr>
            <w:r w:rsidRPr="00BF0DD9">
              <w:rPr>
                <w:szCs w:val="24"/>
              </w:rPr>
              <w:t>Ja Pretendents ir personu apvienība, tad obligātā objekta apskate jāveic vismaz vienam no personu apvienības dalībniekiem.</w:t>
            </w:r>
          </w:p>
          <w:p w14:paraId="4823F8FA" w14:textId="77777777" w:rsidR="004C21C8" w:rsidRDefault="004C21C8" w:rsidP="004C21C8">
            <w:pPr>
              <w:pStyle w:val="BlockText"/>
              <w:tabs>
                <w:tab w:val="left" w:pos="1808"/>
                <w:tab w:val="left" w:pos="1950"/>
              </w:tabs>
              <w:spacing w:after="120"/>
              <w:ind w:left="0" w:right="-57"/>
              <w:jc w:val="both"/>
              <w:rPr>
                <w:szCs w:val="24"/>
              </w:rPr>
            </w:pPr>
          </w:p>
          <w:p w14:paraId="1E042B39" w14:textId="31F6122C" w:rsidR="004C21C8" w:rsidRPr="00BF0DD9" w:rsidRDefault="004C21C8" w:rsidP="004C21C8">
            <w:pPr>
              <w:pStyle w:val="BlockText"/>
              <w:tabs>
                <w:tab w:val="left" w:pos="1808"/>
                <w:tab w:val="left" w:pos="1950"/>
              </w:tabs>
              <w:spacing w:after="120"/>
              <w:ind w:left="0" w:right="-57"/>
              <w:jc w:val="both"/>
              <w:rPr>
                <w:szCs w:val="24"/>
              </w:rPr>
            </w:pPr>
            <w:r w:rsidRPr="00BF0DD9">
              <w:rPr>
                <w:szCs w:val="24"/>
              </w:rPr>
              <w:t xml:space="preserve">Saistībā ar iepirkuma ietvaros esošo nepieciešamību nodrošināt ieinteresētajiem piegādātājiem objektu apskati, Pasūtītājs/-i rīkosies atbilstoši Ministru kabineta 2021.gada 6.jūlija noteikumiem Nr.508 “Kritiskās infrastruktūras, tajā skaitā Eiropas kritiskās infrastruktūras, apzināšanas, drošības pasākumu un darbības nepārtrauktības plānošanas un īstenošanas kārtības” (turpmāk – noteikumi Nr.508). </w:t>
            </w:r>
          </w:p>
          <w:p w14:paraId="20FAFE9A" w14:textId="77777777" w:rsidR="004C21C8" w:rsidRPr="00BF0DD9" w:rsidRDefault="004C21C8" w:rsidP="004C21C8">
            <w:pPr>
              <w:pStyle w:val="BlockText"/>
              <w:tabs>
                <w:tab w:val="left" w:pos="1808"/>
                <w:tab w:val="left" w:pos="1950"/>
              </w:tabs>
              <w:spacing w:after="120"/>
              <w:ind w:left="0" w:right="-57"/>
              <w:jc w:val="both"/>
              <w:rPr>
                <w:szCs w:val="24"/>
              </w:rPr>
            </w:pPr>
            <w:r w:rsidRPr="00BF0DD9">
              <w:rPr>
                <w:szCs w:val="24"/>
              </w:rPr>
              <w:t>Saskaņā ar noteikumu Nr.508 16.punktā noteikto, valsts drošības iestāde par ieinteresēto piegādātāju un tā norādītajām personām, kuras piesakās iepirkuma objektu apskatei, veic pārbaudi.</w:t>
            </w:r>
          </w:p>
          <w:p w14:paraId="58062C11" w14:textId="77777777" w:rsidR="004C21C8" w:rsidRPr="00BF0DD9" w:rsidRDefault="004C21C8" w:rsidP="004C21C8">
            <w:pPr>
              <w:pStyle w:val="BlockText"/>
              <w:tabs>
                <w:tab w:val="left" w:pos="1808"/>
                <w:tab w:val="left" w:pos="1950"/>
              </w:tabs>
              <w:spacing w:after="120"/>
              <w:ind w:left="0" w:right="-57"/>
              <w:jc w:val="both"/>
              <w:rPr>
                <w:szCs w:val="24"/>
              </w:rPr>
            </w:pPr>
            <w:r w:rsidRPr="00BF0DD9">
              <w:rPr>
                <w:szCs w:val="24"/>
              </w:rPr>
              <w:t xml:space="preserve">Pamatojoties uz pārbaudes rezultātiem, attiecīgā valsts drošības iestāde sniedz Pasūtītājam ieteikumus par drošības pasākumu veikšanu un sniedz rekomendāciju (pozitīvu vai negatīvu). </w:t>
            </w:r>
          </w:p>
          <w:p w14:paraId="7FD56502" w14:textId="77777777" w:rsidR="004C21C8" w:rsidRPr="00BF0DD9" w:rsidRDefault="004C21C8" w:rsidP="004C21C8">
            <w:pPr>
              <w:pStyle w:val="BlockText"/>
              <w:tabs>
                <w:tab w:val="left" w:pos="1808"/>
                <w:tab w:val="left" w:pos="1950"/>
              </w:tabs>
              <w:spacing w:after="120"/>
              <w:ind w:left="0" w:right="-57"/>
              <w:jc w:val="both"/>
              <w:rPr>
                <w:szCs w:val="24"/>
              </w:rPr>
            </w:pPr>
            <w:r w:rsidRPr="00BF0DD9">
              <w:rPr>
                <w:szCs w:val="24"/>
              </w:rPr>
              <w:t>Minēto pārbaudi valsts drošības iestāde veiks arī attiecībā uz personām, kuras būs pieprasījušas piekļuvi informācijai (Noteikumu Nr.508 2.punkts) par iepirkuma objektu/-</w:t>
            </w:r>
            <w:proofErr w:type="spellStart"/>
            <w:r w:rsidRPr="00BF0DD9">
              <w:rPr>
                <w:szCs w:val="24"/>
              </w:rPr>
              <w:t>iem</w:t>
            </w:r>
            <w:proofErr w:type="spellEnd"/>
            <w:r w:rsidRPr="00BF0DD9">
              <w:rPr>
                <w:szCs w:val="24"/>
              </w:rPr>
              <w:t>.</w:t>
            </w:r>
          </w:p>
          <w:p w14:paraId="3890FFF4" w14:textId="77777777" w:rsidR="004C21C8" w:rsidRPr="00BF0DD9" w:rsidRDefault="004C21C8" w:rsidP="004C21C8">
            <w:pPr>
              <w:pStyle w:val="BlockText"/>
              <w:tabs>
                <w:tab w:val="left" w:pos="1808"/>
                <w:tab w:val="left" w:pos="1950"/>
              </w:tabs>
              <w:spacing w:after="120"/>
              <w:ind w:left="0" w:right="-57"/>
              <w:jc w:val="both"/>
              <w:rPr>
                <w:szCs w:val="24"/>
              </w:rPr>
            </w:pPr>
            <w:r w:rsidRPr="00BF0DD9">
              <w:rPr>
                <w:szCs w:val="24"/>
              </w:rPr>
              <w:t>Pēc pozitīvas rekomendācijas no valsts drošības iestādes saņemšanas, ieinteresētajam piegādātājam tiek nodrošināta objekta/-u apskate un/vai piekļuve informācijai (Noteikumu Nr.508 2.punkts) par iepirkuma objektu/-</w:t>
            </w:r>
            <w:proofErr w:type="spellStart"/>
            <w:r w:rsidRPr="00BF0DD9">
              <w:rPr>
                <w:szCs w:val="24"/>
              </w:rPr>
              <w:t>iem</w:t>
            </w:r>
            <w:proofErr w:type="spellEnd"/>
            <w:r w:rsidRPr="00BF0DD9">
              <w:rPr>
                <w:szCs w:val="24"/>
              </w:rPr>
              <w:t>.</w:t>
            </w:r>
          </w:p>
          <w:p w14:paraId="20EFFE79" w14:textId="77777777" w:rsidR="004C21C8" w:rsidRPr="00D02B63" w:rsidRDefault="004C21C8" w:rsidP="00A93A47">
            <w:pPr>
              <w:pStyle w:val="BlockText"/>
              <w:spacing w:after="120"/>
              <w:ind w:left="0" w:right="-57"/>
              <w:jc w:val="both"/>
              <w:rPr>
                <w:szCs w:val="24"/>
              </w:rPr>
            </w:pPr>
            <w:r w:rsidRPr="00BF0DD9">
              <w:rPr>
                <w:szCs w:val="24"/>
              </w:rPr>
              <w:t>Ja par ieinteresēto piegādātāju un tā norādītajām personām no valsts drošības iestādes tiek saņemta negatīva rekomendācija, ieinteresētajam piegādātājam un tā norādītajām personām vai personai, kura pieprasījusi piekļuvi informācijai (Noteikumu Nr.508 2.punkts) par iepirkuma Objektu/-</w:t>
            </w:r>
            <w:proofErr w:type="spellStart"/>
            <w:r w:rsidRPr="00BF0DD9">
              <w:rPr>
                <w:szCs w:val="24"/>
              </w:rPr>
              <w:t>iem</w:t>
            </w:r>
            <w:proofErr w:type="spellEnd"/>
            <w:r w:rsidRPr="00BF0DD9">
              <w:rPr>
                <w:szCs w:val="24"/>
              </w:rPr>
              <w:t>, Objekta/-u apskate un piekļuve informācijai (Noteikumu Nr.508 2.punkts) netiek nodrošināta.</w:t>
            </w:r>
          </w:p>
        </w:tc>
      </w:tr>
      <w:tr w:rsidR="004C21C8" w:rsidRPr="00D02B63" w14:paraId="092EF7FB" w14:textId="77777777" w:rsidTr="00A93A47">
        <w:trPr>
          <w:trHeight w:val="842"/>
        </w:trPr>
        <w:tc>
          <w:tcPr>
            <w:tcW w:w="2757" w:type="dxa"/>
          </w:tcPr>
          <w:p w14:paraId="192A9D3C" w14:textId="77777777" w:rsidR="004C21C8" w:rsidRDefault="004C21C8" w:rsidP="00A93A47">
            <w:pPr>
              <w:rPr>
                <w:rFonts w:ascii="Times New Roman" w:hAnsi="Times New Roman" w:cs="Times New Roman"/>
                <w:bCs/>
                <w:sz w:val="24"/>
                <w:szCs w:val="24"/>
              </w:rPr>
            </w:pPr>
            <w:r>
              <w:rPr>
                <w:rFonts w:ascii="Times New Roman" w:hAnsi="Times New Roman" w:cs="Times New Roman"/>
                <w:bCs/>
                <w:sz w:val="24"/>
                <w:szCs w:val="24"/>
              </w:rPr>
              <w:lastRenderedPageBreak/>
              <w:t>P</w:t>
            </w:r>
            <w:r w:rsidRPr="00D02B63">
              <w:rPr>
                <w:rFonts w:ascii="Times New Roman" w:hAnsi="Times New Roman" w:cs="Times New Roman"/>
                <w:bCs/>
                <w:sz w:val="24"/>
                <w:szCs w:val="24"/>
              </w:rPr>
              <w:t>lānotais iepirkuma procedūras veids</w:t>
            </w:r>
          </w:p>
        </w:tc>
        <w:tc>
          <w:tcPr>
            <w:tcW w:w="6243" w:type="dxa"/>
          </w:tcPr>
          <w:p w14:paraId="12DED21A" w14:textId="77777777" w:rsidR="004C21C8" w:rsidRPr="00D02B63" w:rsidRDefault="004C21C8" w:rsidP="00A93A47">
            <w:pPr>
              <w:pStyle w:val="BlockText"/>
              <w:spacing w:after="120"/>
              <w:ind w:left="0" w:right="-57"/>
              <w:jc w:val="both"/>
              <w:rPr>
                <w:bCs/>
                <w:szCs w:val="24"/>
              </w:rPr>
            </w:pPr>
            <w:r w:rsidRPr="00D02B63">
              <w:rPr>
                <w:bCs/>
                <w:szCs w:val="24"/>
              </w:rPr>
              <w:t xml:space="preserve">Atklāts konkurss saskaņā ar Sabiedrisko pakalpojumu sniedzēju iepirkumu likumu. </w:t>
            </w:r>
          </w:p>
        </w:tc>
      </w:tr>
      <w:tr w:rsidR="004C21C8" w:rsidRPr="00D02B63" w14:paraId="5CA8132F" w14:textId="77777777" w:rsidTr="00A93A47">
        <w:trPr>
          <w:trHeight w:val="935"/>
        </w:trPr>
        <w:tc>
          <w:tcPr>
            <w:tcW w:w="2757" w:type="dxa"/>
          </w:tcPr>
          <w:p w14:paraId="69EC0510" w14:textId="77777777" w:rsidR="004C21C8" w:rsidRPr="00D02B63" w:rsidRDefault="004C21C8" w:rsidP="00A93A47">
            <w:pPr>
              <w:rPr>
                <w:rFonts w:ascii="Times New Roman" w:hAnsi="Times New Roman" w:cs="Times New Roman"/>
                <w:sz w:val="24"/>
                <w:szCs w:val="24"/>
              </w:rPr>
            </w:pPr>
            <w:r w:rsidRPr="00D02B63">
              <w:rPr>
                <w:rFonts w:ascii="Times New Roman" w:hAnsi="Times New Roman" w:cs="Times New Roman"/>
                <w:sz w:val="24"/>
                <w:szCs w:val="24"/>
              </w:rPr>
              <w:t>Apspriedes mērķis</w:t>
            </w:r>
          </w:p>
        </w:tc>
        <w:tc>
          <w:tcPr>
            <w:tcW w:w="6243" w:type="dxa"/>
          </w:tcPr>
          <w:p w14:paraId="1E8B2F73" w14:textId="77777777" w:rsidR="004C21C8" w:rsidRPr="00D02B63" w:rsidRDefault="004C21C8" w:rsidP="00A93A47">
            <w:pPr>
              <w:jc w:val="both"/>
              <w:rPr>
                <w:rFonts w:ascii="Times New Roman" w:hAnsi="Times New Roman" w:cs="Times New Roman"/>
                <w:sz w:val="24"/>
                <w:szCs w:val="24"/>
              </w:rPr>
            </w:pPr>
            <w:r w:rsidRPr="00D02B63">
              <w:rPr>
                <w:rFonts w:ascii="Times New Roman" w:hAnsi="Times New Roman" w:cs="Times New Roman"/>
                <w:sz w:val="24"/>
                <w:szCs w:val="24"/>
              </w:rPr>
              <w:t>Nodrošināt ieinteresētajiem piegādātājiem iespēju iepazīties ar plānotā iepirkuma pamatnosacījumiem un saņemt ieinteresēto piegādātāju priekšlikumus iepirkuma dokumentācijas pilnveidei.</w:t>
            </w:r>
          </w:p>
        </w:tc>
      </w:tr>
      <w:tr w:rsidR="004C21C8" w:rsidRPr="001E33C1" w14:paraId="2C7B7439" w14:textId="77777777" w:rsidTr="00A93A47">
        <w:trPr>
          <w:trHeight w:val="990"/>
        </w:trPr>
        <w:tc>
          <w:tcPr>
            <w:tcW w:w="2757" w:type="dxa"/>
          </w:tcPr>
          <w:p w14:paraId="36F4EC0F" w14:textId="77777777" w:rsidR="004C21C8" w:rsidRPr="00EA4E0C" w:rsidRDefault="004C21C8" w:rsidP="00A93A47">
            <w:pPr>
              <w:rPr>
                <w:rFonts w:ascii="Times New Roman" w:hAnsi="Times New Roman" w:cs="Times New Roman"/>
                <w:sz w:val="24"/>
                <w:szCs w:val="24"/>
              </w:rPr>
            </w:pPr>
            <w:r w:rsidRPr="00EA4E0C">
              <w:rPr>
                <w:rFonts w:ascii="Times New Roman" w:hAnsi="Times New Roman" w:cs="Times New Roman"/>
                <w:sz w:val="24"/>
                <w:szCs w:val="24"/>
              </w:rPr>
              <w:t>Apspriežamie jautājumi</w:t>
            </w:r>
          </w:p>
        </w:tc>
        <w:tc>
          <w:tcPr>
            <w:tcW w:w="6243" w:type="dxa"/>
          </w:tcPr>
          <w:p w14:paraId="6D10CA32" w14:textId="77777777" w:rsidR="004C21C8" w:rsidRDefault="004C21C8" w:rsidP="00A93A47">
            <w:pPr>
              <w:jc w:val="both"/>
              <w:rPr>
                <w:rFonts w:ascii="Times New Roman" w:hAnsi="Times New Roman" w:cs="Times New Roman"/>
                <w:sz w:val="24"/>
                <w:szCs w:val="24"/>
              </w:rPr>
            </w:pPr>
            <w:r>
              <w:rPr>
                <w:rFonts w:ascii="Times New Roman" w:hAnsi="Times New Roman" w:cs="Times New Roman"/>
                <w:sz w:val="24"/>
                <w:szCs w:val="24"/>
              </w:rPr>
              <w:t>Kvalifikācijas prasības (1.pielikums);</w:t>
            </w:r>
          </w:p>
          <w:p w14:paraId="3829DCB2" w14:textId="77777777" w:rsidR="004C21C8" w:rsidRDefault="004C21C8" w:rsidP="00A93A47">
            <w:pPr>
              <w:jc w:val="both"/>
              <w:rPr>
                <w:rFonts w:ascii="Times New Roman" w:hAnsi="Times New Roman" w:cs="Times New Roman"/>
                <w:sz w:val="24"/>
                <w:szCs w:val="24"/>
              </w:rPr>
            </w:pPr>
            <w:r>
              <w:rPr>
                <w:rFonts w:ascii="Times New Roman" w:hAnsi="Times New Roman" w:cs="Times New Roman"/>
                <w:sz w:val="24"/>
                <w:szCs w:val="24"/>
              </w:rPr>
              <w:t>Tehniskā specifikācija (2. un 3. pielikums);</w:t>
            </w:r>
          </w:p>
          <w:p w14:paraId="52529B05" w14:textId="40BDA540" w:rsidR="004A7D24" w:rsidRDefault="004A7D24" w:rsidP="00A93A47">
            <w:pPr>
              <w:jc w:val="both"/>
              <w:rPr>
                <w:rFonts w:ascii="Times New Roman" w:hAnsi="Times New Roman" w:cs="Times New Roman"/>
                <w:sz w:val="24"/>
                <w:szCs w:val="24"/>
              </w:rPr>
            </w:pPr>
            <w:r>
              <w:rPr>
                <w:rFonts w:ascii="Times New Roman" w:hAnsi="Times New Roman" w:cs="Times New Roman"/>
                <w:sz w:val="24"/>
                <w:szCs w:val="24"/>
              </w:rPr>
              <w:t>Darbu tāme (4. un 5. pielikums);</w:t>
            </w:r>
          </w:p>
          <w:p w14:paraId="39046E4F" w14:textId="7AA3FDAD" w:rsidR="004C21C8" w:rsidRDefault="004C21C8" w:rsidP="00A93A47">
            <w:pPr>
              <w:jc w:val="both"/>
              <w:rPr>
                <w:rFonts w:ascii="Times New Roman" w:hAnsi="Times New Roman" w:cs="Times New Roman"/>
                <w:sz w:val="24"/>
                <w:szCs w:val="24"/>
              </w:rPr>
            </w:pPr>
            <w:r>
              <w:rPr>
                <w:rFonts w:ascii="Times New Roman" w:hAnsi="Times New Roman" w:cs="Times New Roman"/>
                <w:sz w:val="24"/>
                <w:szCs w:val="24"/>
              </w:rPr>
              <w:t>Līguma projekts (</w:t>
            </w:r>
            <w:r w:rsidR="004A7D24">
              <w:rPr>
                <w:rFonts w:ascii="Times New Roman" w:hAnsi="Times New Roman" w:cs="Times New Roman"/>
                <w:sz w:val="24"/>
                <w:szCs w:val="24"/>
              </w:rPr>
              <w:t>6</w:t>
            </w:r>
            <w:r>
              <w:rPr>
                <w:rFonts w:ascii="Times New Roman" w:hAnsi="Times New Roman" w:cs="Times New Roman"/>
                <w:sz w:val="24"/>
                <w:szCs w:val="24"/>
              </w:rPr>
              <w:t xml:space="preserve">. un </w:t>
            </w:r>
            <w:r w:rsidR="004A7D24">
              <w:rPr>
                <w:rFonts w:ascii="Times New Roman" w:hAnsi="Times New Roman" w:cs="Times New Roman"/>
                <w:sz w:val="24"/>
                <w:szCs w:val="24"/>
              </w:rPr>
              <w:t>7</w:t>
            </w:r>
            <w:r>
              <w:rPr>
                <w:rFonts w:ascii="Times New Roman" w:hAnsi="Times New Roman" w:cs="Times New Roman"/>
                <w:sz w:val="24"/>
                <w:szCs w:val="24"/>
              </w:rPr>
              <w:t>. pielikums);</w:t>
            </w:r>
          </w:p>
          <w:p w14:paraId="2059B4D8" w14:textId="77777777" w:rsidR="004C21C8" w:rsidRPr="001E33C1" w:rsidRDefault="004C21C8" w:rsidP="00A93A47">
            <w:pPr>
              <w:pStyle w:val="BlockText"/>
              <w:spacing w:after="120"/>
              <w:ind w:left="0" w:right="-57"/>
              <w:jc w:val="both"/>
              <w:rPr>
                <w:szCs w:val="24"/>
              </w:rPr>
            </w:pPr>
            <w:r w:rsidRPr="00A27268">
              <w:t>Citas</w:t>
            </w:r>
            <w:r w:rsidRPr="001E33C1">
              <w:rPr>
                <w:szCs w:val="24"/>
              </w:rPr>
              <w:t xml:space="preserve"> prasības, ko piegādātāji uzskata par nepieciešamu apspriest.</w:t>
            </w:r>
          </w:p>
        </w:tc>
      </w:tr>
      <w:tr w:rsidR="004C21C8" w:rsidRPr="00A27268" w14:paraId="63310BDA" w14:textId="77777777" w:rsidTr="00A93A47">
        <w:trPr>
          <w:trHeight w:val="662"/>
        </w:trPr>
        <w:tc>
          <w:tcPr>
            <w:tcW w:w="2757" w:type="dxa"/>
          </w:tcPr>
          <w:p w14:paraId="17267990" w14:textId="77777777" w:rsidR="004C21C8" w:rsidRPr="00EA4E0C" w:rsidRDefault="004C21C8" w:rsidP="00A93A47">
            <w:pPr>
              <w:rPr>
                <w:rFonts w:ascii="Times New Roman" w:hAnsi="Times New Roman" w:cs="Times New Roman"/>
                <w:sz w:val="24"/>
                <w:szCs w:val="24"/>
              </w:rPr>
            </w:pPr>
            <w:r w:rsidRPr="00EA4E0C">
              <w:rPr>
                <w:rFonts w:ascii="Times New Roman" w:hAnsi="Times New Roman" w:cs="Times New Roman"/>
                <w:sz w:val="24"/>
                <w:szCs w:val="24"/>
              </w:rPr>
              <w:t>Informācija par iepirkuma priekšmetu</w:t>
            </w:r>
          </w:p>
        </w:tc>
        <w:tc>
          <w:tcPr>
            <w:tcW w:w="6243" w:type="dxa"/>
          </w:tcPr>
          <w:p w14:paraId="7971A1F4" w14:textId="2BF14A36" w:rsidR="00E602C3" w:rsidRDefault="00E602C3" w:rsidP="00A93A47">
            <w:pPr>
              <w:pStyle w:val="BlockText"/>
              <w:ind w:left="110" w:right="-57"/>
              <w:jc w:val="both"/>
              <w:rPr>
                <w:rFonts w:eastAsia="Calibri"/>
                <w:szCs w:val="24"/>
              </w:rPr>
            </w:pPr>
            <w:bookmarkStart w:id="0" w:name="bookmark27"/>
            <w:bookmarkStart w:id="1" w:name="_Hlk205989589"/>
            <w:bookmarkEnd w:id="0"/>
            <w:r>
              <w:rPr>
                <w:rFonts w:eastAsia="Calibri"/>
                <w:szCs w:val="24"/>
              </w:rPr>
              <w:t xml:space="preserve">31000000-6  </w:t>
            </w:r>
            <w:r w:rsidRPr="00E602C3">
              <w:rPr>
                <w:rFonts w:eastAsia="Calibri"/>
                <w:szCs w:val="24"/>
              </w:rPr>
              <w:t> Elektriskie mehānismi, aparāti, iekārtas un palīgmateriāli; apgaismojums</w:t>
            </w:r>
          </w:p>
          <w:bookmarkEnd w:id="1"/>
          <w:p w14:paraId="3A124E66" w14:textId="44EDFF8D" w:rsidR="004C21C8" w:rsidRDefault="004C21C8" w:rsidP="00A93A47">
            <w:pPr>
              <w:pStyle w:val="BlockText"/>
              <w:ind w:left="110" w:right="-57"/>
              <w:jc w:val="both"/>
              <w:rPr>
                <w:rFonts w:eastAsia="Calibri"/>
                <w:szCs w:val="24"/>
              </w:rPr>
            </w:pPr>
            <w:r w:rsidRPr="00C30C92">
              <w:rPr>
                <w:rFonts w:eastAsia="Calibri"/>
                <w:szCs w:val="24"/>
              </w:rPr>
              <w:t>71000000-8 Arhitektūras, būvniecības, inženiertehniskie un pārbaudes pakalpojumi</w:t>
            </w:r>
          </w:p>
          <w:p w14:paraId="6B5664A9" w14:textId="77777777" w:rsidR="004C21C8" w:rsidRDefault="004C21C8" w:rsidP="00A93A47">
            <w:pPr>
              <w:pStyle w:val="BlockText"/>
              <w:ind w:left="110" w:right="-57"/>
              <w:jc w:val="both"/>
              <w:rPr>
                <w:szCs w:val="24"/>
              </w:rPr>
            </w:pPr>
            <w:r w:rsidRPr="00B142D8">
              <w:rPr>
                <w:szCs w:val="24"/>
              </w:rPr>
              <w:t xml:space="preserve">48000000-8 Programmatūras </w:t>
            </w:r>
            <w:proofErr w:type="spellStart"/>
            <w:r w:rsidRPr="00B142D8">
              <w:rPr>
                <w:szCs w:val="24"/>
              </w:rPr>
              <w:t>pakotne</w:t>
            </w:r>
            <w:proofErr w:type="spellEnd"/>
            <w:r w:rsidRPr="00B142D8">
              <w:rPr>
                <w:szCs w:val="24"/>
              </w:rPr>
              <w:t xml:space="preserve"> un informācijas sistēmas</w:t>
            </w:r>
          </w:p>
          <w:p w14:paraId="6C609DC7" w14:textId="77777777" w:rsidR="004C21C8" w:rsidRDefault="004C21C8" w:rsidP="00A93A47">
            <w:pPr>
              <w:pStyle w:val="BlockText"/>
              <w:ind w:left="110" w:right="-57"/>
              <w:jc w:val="both"/>
              <w:rPr>
                <w:szCs w:val="24"/>
              </w:rPr>
            </w:pPr>
            <w:r w:rsidRPr="00B142D8">
              <w:rPr>
                <w:szCs w:val="24"/>
              </w:rPr>
              <w:t>45000000-7 Celtniecības darbi</w:t>
            </w:r>
          </w:p>
          <w:p w14:paraId="5191DB32" w14:textId="77777777" w:rsidR="004C21C8" w:rsidRDefault="004C21C8" w:rsidP="00A93A47">
            <w:pPr>
              <w:pStyle w:val="BlockText"/>
              <w:ind w:left="110" w:right="-57"/>
              <w:jc w:val="both"/>
              <w:rPr>
                <w:szCs w:val="24"/>
              </w:rPr>
            </w:pPr>
            <w:r w:rsidRPr="00B142D8">
              <w:rPr>
                <w:szCs w:val="24"/>
              </w:rPr>
              <w:t>32000000-3</w:t>
            </w:r>
            <w:r>
              <w:rPr>
                <w:szCs w:val="24"/>
              </w:rPr>
              <w:t xml:space="preserve"> </w:t>
            </w:r>
            <w:r w:rsidRPr="00B142D8">
              <w:rPr>
                <w:szCs w:val="24"/>
              </w:rPr>
              <w:t>Radio, televīzijas, komunikāciju, telekomunikāciju un saistītās iekārtas un aparāti</w:t>
            </w:r>
          </w:p>
          <w:p w14:paraId="6392E966" w14:textId="77777777" w:rsidR="004C21C8" w:rsidRDefault="004C21C8" w:rsidP="00A93A47">
            <w:pPr>
              <w:pStyle w:val="BlockText"/>
              <w:ind w:left="110" w:right="-57"/>
              <w:jc w:val="both"/>
              <w:rPr>
                <w:szCs w:val="24"/>
              </w:rPr>
            </w:pPr>
            <w:r w:rsidRPr="00B142D8">
              <w:rPr>
                <w:szCs w:val="24"/>
              </w:rPr>
              <w:t>48820000-2 Serveri</w:t>
            </w:r>
          </w:p>
          <w:p w14:paraId="1610DEE6" w14:textId="77777777" w:rsidR="004C21C8" w:rsidRDefault="004C21C8" w:rsidP="00A93A47">
            <w:pPr>
              <w:pStyle w:val="BlockText"/>
              <w:ind w:left="110" w:right="-57"/>
              <w:jc w:val="both"/>
              <w:rPr>
                <w:szCs w:val="24"/>
              </w:rPr>
            </w:pPr>
            <w:r w:rsidRPr="00B142D8">
              <w:rPr>
                <w:szCs w:val="24"/>
              </w:rPr>
              <w:t>48800000-6 Informācijas sistēmas un serveri</w:t>
            </w:r>
          </w:p>
          <w:p w14:paraId="2043E62A" w14:textId="77777777" w:rsidR="004C21C8" w:rsidRDefault="004C21C8" w:rsidP="00A93A47">
            <w:pPr>
              <w:pStyle w:val="BlockText"/>
              <w:ind w:left="110" w:right="-57"/>
              <w:jc w:val="both"/>
              <w:rPr>
                <w:szCs w:val="24"/>
              </w:rPr>
            </w:pPr>
            <w:r w:rsidRPr="00B142D8">
              <w:rPr>
                <w:szCs w:val="24"/>
              </w:rPr>
              <w:t>31120000-3 Ģeneratori</w:t>
            </w:r>
          </w:p>
          <w:p w14:paraId="67E18D1B" w14:textId="77777777" w:rsidR="004C21C8" w:rsidRDefault="004C21C8" w:rsidP="00A93A47">
            <w:pPr>
              <w:pStyle w:val="BlockText"/>
              <w:ind w:left="110" w:right="-57"/>
              <w:jc w:val="both"/>
              <w:rPr>
                <w:szCs w:val="24"/>
              </w:rPr>
            </w:pPr>
            <w:r w:rsidRPr="00B142D8">
              <w:rPr>
                <w:szCs w:val="24"/>
              </w:rPr>
              <w:t>31127000-2 Avārijas ģenerators</w:t>
            </w:r>
          </w:p>
          <w:p w14:paraId="52EF3952" w14:textId="77777777" w:rsidR="004C21C8" w:rsidRDefault="004C21C8" w:rsidP="00A93A47">
            <w:pPr>
              <w:pStyle w:val="BlockText"/>
              <w:ind w:left="110" w:right="-57"/>
              <w:jc w:val="both"/>
              <w:rPr>
                <w:szCs w:val="24"/>
              </w:rPr>
            </w:pPr>
            <w:r w:rsidRPr="00B142D8">
              <w:rPr>
                <w:szCs w:val="24"/>
              </w:rPr>
              <w:t>32200000-5 Raidītāji radiotelefona vai radiotelegrāfa sakariem, radio vai televīzijas apraidei</w:t>
            </w:r>
          </w:p>
          <w:p w14:paraId="3E76E9F0" w14:textId="77777777" w:rsidR="004C21C8" w:rsidRDefault="004C21C8" w:rsidP="00A93A47">
            <w:pPr>
              <w:pStyle w:val="BlockText"/>
              <w:ind w:left="110" w:right="-57"/>
              <w:jc w:val="both"/>
              <w:rPr>
                <w:szCs w:val="24"/>
              </w:rPr>
            </w:pPr>
            <w:r w:rsidRPr="00B142D8">
              <w:rPr>
                <w:szCs w:val="24"/>
              </w:rPr>
              <w:t>45200000-9 Pilnīgas vai daļējas izbūves darbi un inženiertehniskie darbi</w:t>
            </w:r>
          </w:p>
          <w:p w14:paraId="72F96C48" w14:textId="77777777" w:rsidR="004C21C8" w:rsidRPr="00B142D8" w:rsidRDefault="004C21C8" w:rsidP="00A93A47">
            <w:pPr>
              <w:pStyle w:val="BlockText"/>
              <w:ind w:left="110" w:right="-57"/>
              <w:jc w:val="both"/>
              <w:rPr>
                <w:szCs w:val="24"/>
              </w:rPr>
            </w:pPr>
            <w:r w:rsidRPr="00B142D8">
              <w:rPr>
                <w:szCs w:val="24"/>
              </w:rPr>
              <w:t>45220000-5 Inženiertehniskie un celtniecības darbi</w:t>
            </w:r>
          </w:p>
          <w:p w14:paraId="65BC0D06" w14:textId="77777777" w:rsidR="004C21C8" w:rsidRPr="00B142D8" w:rsidRDefault="004C21C8" w:rsidP="00A93A47">
            <w:pPr>
              <w:pStyle w:val="BlockText"/>
              <w:ind w:left="110" w:right="-57"/>
              <w:jc w:val="both"/>
              <w:rPr>
                <w:szCs w:val="24"/>
              </w:rPr>
            </w:pPr>
            <w:r w:rsidRPr="00B142D8">
              <w:rPr>
                <w:szCs w:val="24"/>
              </w:rPr>
              <w:t>45223000-6 Konstrukciju celtniecības darbi</w:t>
            </w:r>
          </w:p>
          <w:p w14:paraId="7A4C9D95" w14:textId="77777777" w:rsidR="004C21C8" w:rsidRDefault="004C21C8" w:rsidP="00A93A47">
            <w:pPr>
              <w:pStyle w:val="BlockText"/>
              <w:ind w:left="110" w:right="-57"/>
              <w:jc w:val="both"/>
              <w:rPr>
                <w:szCs w:val="24"/>
              </w:rPr>
            </w:pPr>
            <w:r w:rsidRPr="00B142D8">
              <w:rPr>
                <w:szCs w:val="24"/>
              </w:rPr>
              <w:t>45223400-0 Radiolokācijas stacijas celtniecības darbi</w:t>
            </w:r>
          </w:p>
          <w:p w14:paraId="68464760" w14:textId="77777777" w:rsidR="004C21C8" w:rsidRDefault="004C21C8" w:rsidP="00A93A47">
            <w:pPr>
              <w:pStyle w:val="BlockText"/>
              <w:ind w:left="110" w:right="-57"/>
              <w:jc w:val="both"/>
              <w:rPr>
                <w:szCs w:val="24"/>
              </w:rPr>
            </w:pPr>
            <w:r w:rsidRPr="00B142D8">
              <w:rPr>
                <w:szCs w:val="24"/>
              </w:rPr>
              <w:t>48810000-9 Informācijas sistēmas</w:t>
            </w:r>
          </w:p>
          <w:p w14:paraId="6B2D1D97" w14:textId="77777777" w:rsidR="004C21C8" w:rsidRDefault="004C21C8" w:rsidP="00A93A47">
            <w:pPr>
              <w:pStyle w:val="BlockText"/>
              <w:ind w:left="110" w:right="-57"/>
              <w:jc w:val="both"/>
              <w:rPr>
                <w:szCs w:val="24"/>
              </w:rPr>
            </w:pPr>
            <w:r w:rsidRPr="00B142D8">
              <w:rPr>
                <w:szCs w:val="24"/>
              </w:rPr>
              <w:t xml:space="preserve">48900000-7 Dažādas programmatūras </w:t>
            </w:r>
            <w:proofErr w:type="spellStart"/>
            <w:r w:rsidRPr="00B142D8">
              <w:rPr>
                <w:szCs w:val="24"/>
              </w:rPr>
              <w:t>pakotnes</w:t>
            </w:r>
            <w:proofErr w:type="spellEnd"/>
            <w:r w:rsidRPr="00B142D8">
              <w:rPr>
                <w:szCs w:val="24"/>
              </w:rPr>
              <w:t xml:space="preserve"> un datoru sistēmas</w:t>
            </w:r>
          </w:p>
          <w:p w14:paraId="3CD52364" w14:textId="77777777" w:rsidR="004C21C8" w:rsidRDefault="004C21C8" w:rsidP="00A93A47">
            <w:pPr>
              <w:pStyle w:val="BlockText"/>
              <w:ind w:left="110" w:right="-57"/>
              <w:jc w:val="both"/>
              <w:rPr>
                <w:szCs w:val="24"/>
              </w:rPr>
            </w:pPr>
            <w:r w:rsidRPr="00B142D8">
              <w:rPr>
                <w:szCs w:val="24"/>
              </w:rPr>
              <w:t>48950000-2 Kuģu lokācijas un publiskās apskaņošanas sistēma</w:t>
            </w:r>
          </w:p>
          <w:p w14:paraId="57BB7EC8" w14:textId="77777777" w:rsidR="004C21C8" w:rsidRDefault="004C21C8" w:rsidP="00A93A47">
            <w:pPr>
              <w:pStyle w:val="BlockText"/>
              <w:ind w:left="110" w:right="-57"/>
              <w:jc w:val="both"/>
              <w:rPr>
                <w:szCs w:val="24"/>
              </w:rPr>
            </w:pPr>
            <w:r w:rsidRPr="00B142D8">
              <w:rPr>
                <w:szCs w:val="24"/>
              </w:rPr>
              <w:t>48951000-9 Kuģu lokācijas sistēma</w:t>
            </w:r>
          </w:p>
          <w:p w14:paraId="4EFB951F" w14:textId="77777777" w:rsidR="004C21C8" w:rsidRDefault="004C21C8" w:rsidP="00A93A47">
            <w:pPr>
              <w:pStyle w:val="BlockText"/>
              <w:ind w:left="110" w:right="-57"/>
              <w:jc w:val="both"/>
              <w:rPr>
                <w:szCs w:val="24"/>
              </w:rPr>
            </w:pPr>
            <w:r w:rsidRPr="00B142D8">
              <w:rPr>
                <w:szCs w:val="24"/>
              </w:rPr>
              <w:t>71320000-7 Inženiertehniskās projektēšanas pakalpojumi</w:t>
            </w:r>
          </w:p>
          <w:p w14:paraId="2494B7A1" w14:textId="77777777" w:rsidR="004C21C8" w:rsidRDefault="004C21C8" w:rsidP="00A93A47">
            <w:pPr>
              <w:pStyle w:val="BlockText"/>
              <w:ind w:left="110" w:right="-57"/>
              <w:jc w:val="both"/>
              <w:rPr>
                <w:szCs w:val="24"/>
              </w:rPr>
            </w:pPr>
            <w:r w:rsidRPr="00B142D8">
              <w:rPr>
                <w:szCs w:val="24"/>
              </w:rPr>
              <w:t>71322000-1 Inženiertehniskās projektēšanas pakalpojumi inženiertehniskajām būvēm</w:t>
            </w:r>
          </w:p>
          <w:p w14:paraId="78556E81" w14:textId="77777777" w:rsidR="004C21C8" w:rsidRDefault="004C21C8" w:rsidP="00A93A47">
            <w:pPr>
              <w:pStyle w:val="BlockText"/>
              <w:spacing w:after="120"/>
              <w:ind w:left="110" w:right="-57"/>
              <w:jc w:val="both"/>
              <w:rPr>
                <w:rFonts w:eastAsia="Calibri"/>
                <w:szCs w:val="24"/>
              </w:rPr>
            </w:pPr>
            <w:r w:rsidRPr="00B142D8">
              <w:rPr>
                <w:szCs w:val="24"/>
              </w:rPr>
              <w:t>71322500-6 Satiksmes regulēšanas iekārtu inženiertehniskās projektēšanas pakalpojumi</w:t>
            </w:r>
          </w:p>
          <w:p w14:paraId="007D54F6" w14:textId="77777777" w:rsidR="004C21C8" w:rsidRPr="00A27268" w:rsidRDefault="004C21C8" w:rsidP="00A93A47">
            <w:pPr>
              <w:pStyle w:val="BlockText"/>
              <w:spacing w:after="120"/>
              <w:ind w:left="0" w:right="-57"/>
              <w:jc w:val="both"/>
              <w:rPr>
                <w:szCs w:val="24"/>
              </w:rPr>
            </w:pPr>
          </w:p>
        </w:tc>
      </w:tr>
      <w:tr w:rsidR="004C21C8" w:rsidRPr="00EA4E0C" w14:paraId="56A283BC" w14:textId="77777777" w:rsidTr="00A93A47">
        <w:trPr>
          <w:trHeight w:val="625"/>
        </w:trPr>
        <w:tc>
          <w:tcPr>
            <w:tcW w:w="2757" w:type="dxa"/>
          </w:tcPr>
          <w:p w14:paraId="678A12D7" w14:textId="77777777" w:rsidR="004C21C8" w:rsidRPr="00EA4E0C" w:rsidRDefault="004C21C8" w:rsidP="00A93A47">
            <w:pPr>
              <w:rPr>
                <w:rFonts w:ascii="Times New Roman" w:hAnsi="Times New Roman" w:cs="Times New Roman"/>
                <w:sz w:val="24"/>
                <w:szCs w:val="24"/>
              </w:rPr>
            </w:pPr>
            <w:r w:rsidRPr="00EA4E0C">
              <w:rPr>
                <w:rFonts w:ascii="Times New Roman" w:hAnsi="Times New Roman" w:cs="Times New Roman"/>
                <w:sz w:val="24"/>
                <w:szCs w:val="24"/>
              </w:rPr>
              <w:t>Apspriedes valoda</w:t>
            </w:r>
          </w:p>
        </w:tc>
        <w:tc>
          <w:tcPr>
            <w:tcW w:w="6243" w:type="dxa"/>
          </w:tcPr>
          <w:p w14:paraId="1815BF30" w14:textId="77777777" w:rsidR="004C21C8" w:rsidRDefault="004C21C8" w:rsidP="00A93A47">
            <w:pPr>
              <w:jc w:val="both"/>
              <w:rPr>
                <w:rFonts w:ascii="Times New Roman" w:hAnsi="Times New Roman" w:cs="Times New Roman"/>
                <w:sz w:val="24"/>
                <w:szCs w:val="24"/>
              </w:rPr>
            </w:pPr>
            <w:r w:rsidRPr="00C24632">
              <w:rPr>
                <w:rFonts w:ascii="Times New Roman" w:hAnsi="Times New Roman" w:cs="Times New Roman"/>
                <w:sz w:val="24"/>
                <w:szCs w:val="24"/>
              </w:rPr>
              <w:t xml:space="preserve">Komentārus un priekšlikumus piegādātāji </w:t>
            </w:r>
            <w:proofErr w:type="spellStart"/>
            <w:r w:rsidRPr="00C24632">
              <w:rPr>
                <w:rFonts w:ascii="Times New Roman" w:hAnsi="Times New Roman" w:cs="Times New Roman"/>
                <w:sz w:val="24"/>
                <w:szCs w:val="24"/>
              </w:rPr>
              <w:t>iesūta</w:t>
            </w:r>
            <w:proofErr w:type="spellEnd"/>
            <w:r w:rsidRPr="00C24632">
              <w:rPr>
                <w:rFonts w:ascii="Times New Roman" w:hAnsi="Times New Roman" w:cs="Times New Roman"/>
                <w:sz w:val="24"/>
                <w:szCs w:val="24"/>
              </w:rPr>
              <w:t xml:space="preserve"> latviešu valodā.</w:t>
            </w:r>
            <w:r w:rsidRPr="00EA4E0C">
              <w:rPr>
                <w:rFonts w:ascii="Times New Roman" w:hAnsi="Times New Roman" w:cs="Times New Roman"/>
                <w:sz w:val="24"/>
                <w:szCs w:val="24"/>
              </w:rPr>
              <w:t xml:space="preserve"> </w:t>
            </w:r>
          </w:p>
          <w:p w14:paraId="3701AEFA" w14:textId="77777777" w:rsidR="004C21C8" w:rsidRPr="00EA4E0C" w:rsidRDefault="004C21C8" w:rsidP="00A93A47">
            <w:pPr>
              <w:jc w:val="both"/>
              <w:rPr>
                <w:rFonts w:ascii="Times New Roman" w:hAnsi="Times New Roman" w:cs="Times New Roman"/>
                <w:sz w:val="24"/>
                <w:szCs w:val="24"/>
              </w:rPr>
            </w:pPr>
          </w:p>
        </w:tc>
      </w:tr>
      <w:tr w:rsidR="004C21C8" w:rsidRPr="00EA4E0C" w14:paraId="6938ACFE" w14:textId="77777777" w:rsidTr="00A93A47">
        <w:trPr>
          <w:trHeight w:val="990"/>
        </w:trPr>
        <w:tc>
          <w:tcPr>
            <w:tcW w:w="2757" w:type="dxa"/>
          </w:tcPr>
          <w:p w14:paraId="33A4B81C" w14:textId="77777777" w:rsidR="004C21C8" w:rsidRPr="00EA4E0C" w:rsidRDefault="004C21C8" w:rsidP="00A93A47">
            <w:pPr>
              <w:rPr>
                <w:rFonts w:ascii="Times New Roman" w:hAnsi="Times New Roman" w:cs="Times New Roman"/>
                <w:sz w:val="24"/>
                <w:szCs w:val="24"/>
              </w:rPr>
            </w:pPr>
            <w:r w:rsidRPr="00EA4E0C">
              <w:rPr>
                <w:rFonts w:ascii="Times New Roman" w:hAnsi="Times New Roman" w:cs="Times New Roman"/>
                <w:sz w:val="24"/>
                <w:szCs w:val="24"/>
              </w:rPr>
              <w:t>Apspriedes dokumentēšana</w:t>
            </w:r>
          </w:p>
        </w:tc>
        <w:tc>
          <w:tcPr>
            <w:tcW w:w="6243" w:type="dxa"/>
          </w:tcPr>
          <w:p w14:paraId="5137EAD4" w14:textId="77777777" w:rsidR="004C21C8" w:rsidRPr="00EA4E0C" w:rsidRDefault="004C21C8" w:rsidP="00A93A47">
            <w:pPr>
              <w:jc w:val="both"/>
              <w:rPr>
                <w:rFonts w:ascii="Times New Roman" w:hAnsi="Times New Roman" w:cs="Times New Roman"/>
                <w:sz w:val="24"/>
                <w:szCs w:val="24"/>
              </w:rPr>
            </w:pPr>
            <w:r w:rsidRPr="00EA4E0C">
              <w:rPr>
                <w:rFonts w:ascii="Times New Roman" w:hAnsi="Times New Roman" w:cs="Times New Roman"/>
                <w:sz w:val="24"/>
                <w:szCs w:val="24"/>
              </w:rPr>
              <w:t xml:space="preserve">Piegādātāji ir atbildīgi par savas komercinformācijas/ komercnoslēpuma izpaušanu apspriedē. Apspriedes norise tiks dokumentēta atbilstoši </w:t>
            </w:r>
            <w:r>
              <w:rPr>
                <w:rFonts w:ascii="Times New Roman" w:hAnsi="Times New Roman" w:cs="Times New Roman"/>
                <w:sz w:val="24"/>
                <w:szCs w:val="24"/>
              </w:rPr>
              <w:t>Sabiedrisko pakalpojumu sniedzēju</w:t>
            </w:r>
            <w:r w:rsidRPr="00EA4E0C">
              <w:rPr>
                <w:rFonts w:ascii="Times New Roman" w:hAnsi="Times New Roman" w:cs="Times New Roman"/>
                <w:sz w:val="24"/>
                <w:szCs w:val="24"/>
              </w:rPr>
              <w:t xml:space="preserve"> </w:t>
            </w:r>
            <w:r>
              <w:rPr>
                <w:rFonts w:ascii="Times New Roman" w:hAnsi="Times New Roman" w:cs="Times New Roman"/>
                <w:sz w:val="24"/>
                <w:szCs w:val="24"/>
              </w:rPr>
              <w:t xml:space="preserve">iepirkumu </w:t>
            </w:r>
            <w:r w:rsidRPr="00EA4E0C">
              <w:rPr>
                <w:rFonts w:ascii="Times New Roman" w:hAnsi="Times New Roman" w:cs="Times New Roman"/>
                <w:sz w:val="24"/>
                <w:szCs w:val="24"/>
              </w:rPr>
              <w:t>likuma noteikumiem.</w:t>
            </w:r>
          </w:p>
        </w:tc>
      </w:tr>
      <w:tr w:rsidR="00192C85" w:rsidRPr="00EA4E0C" w14:paraId="617D0C49" w14:textId="77777777" w:rsidTr="004C21C8">
        <w:trPr>
          <w:trHeight w:val="3298"/>
        </w:trPr>
        <w:tc>
          <w:tcPr>
            <w:tcW w:w="2757" w:type="dxa"/>
          </w:tcPr>
          <w:p w14:paraId="798A8A69" w14:textId="16C75FCE" w:rsidR="00192C85" w:rsidRPr="00EA4E0C" w:rsidRDefault="00192C85" w:rsidP="00A93A47">
            <w:pPr>
              <w:rPr>
                <w:rFonts w:ascii="Times New Roman" w:hAnsi="Times New Roman" w:cs="Times New Roman"/>
                <w:sz w:val="24"/>
                <w:szCs w:val="24"/>
              </w:rPr>
            </w:pPr>
            <w:r>
              <w:rPr>
                <w:rFonts w:ascii="Times New Roman" w:hAnsi="Times New Roman" w:cs="Times New Roman"/>
                <w:sz w:val="24"/>
                <w:szCs w:val="24"/>
              </w:rPr>
              <w:lastRenderedPageBreak/>
              <w:t>Par informācijas pieprasīšanu iepirkuma izsludināšanas laikā</w:t>
            </w:r>
          </w:p>
        </w:tc>
        <w:tc>
          <w:tcPr>
            <w:tcW w:w="6243" w:type="dxa"/>
          </w:tcPr>
          <w:p w14:paraId="4DF5EFE0" w14:textId="21D7FDDF" w:rsidR="00192C85" w:rsidRPr="00192C85" w:rsidRDefault="00192C85" w:rsidP="00192C85">
            <w:pPr>
              <w:jc w:val="both"/>
              <w:rPr>
                <w:rFonts w:ascii="Times New Roman" w:hAnsi="Times New Roman" w:cs="Times New Roman"/>
                <w:sz w:val="24"/>
                <w:szCs w:val="24"/>
              </w:rPr>
            </w:pPr>
            <w:r w:rsidRPr="00192C85">
              <w:rPr>
                <w:rFonts w:ascii="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darbdienu laikā, bet ne vēlāk kā sešas dienas pirms piedāvājumu iesniegšanas termiņa beigām. </w:t>
            </w:r>
            <w:r w:rsidRPr="00192C85">
              <w:rPr>
                <w:rFonts w:ascii="Times New Roman" w:hAnsi="Times New Roman" w:cs="Times New Roman"/>
                <w:bCs/>
                <w:iCs/>
                <w:sz w:val="24"/>
                <w:szCs w:val="24"/>
              </w:rPr>
              <w:t xml:space="preserve">Pasūtītājs nesniedz pretendentiem skaidrojumus/atbildes telefoniskā vai rakstiskā formā – par informāciju, </w:t>
            </w:r>
            <w:r w:rsidRPr="00192C85">
              <w:rPr>
                <w:rFonts w:ascii="Times New Roman" w:hAnsi="Times New Roman" w:cs="Times New Roman"/>
                <w:bCs/>
                <w:iCs/>
                <w:sz w:val="24"/>
                <w:szCs w:val="24"/>
                <w:u w:val="single"/>
              </w:rPr>
              <w:t xml:space="preserve">kas skar Iepirkuma priekšmeta daļu par kritiskās infrastruktūras objektu. Šāda informācija tiek izskaidrota un uzrādīta tikai un vienīgi klātienē pie Pasūtītāja Objektā uz vietas </w:t>
            </w:r>
            <w:r>
              <w:rPr>
                <w:rFonts w:ascii="Times New Roman" w:hAnsi="Times New Roman" w:cs="Times New Roman"/>
                <w:bCs/>
                <w:iCs/>
                <w:sz w:val="24"/>
                <w:szCs w:val="24"/>
                <w:u w:val="single"/>
              </w:rPr>
              <w:t xml:space="preserve">Objekta </w:t>
            </w:r>
            <w:r w:rsidRPr="00192C85">
              <w:rPr>
                <w:rFonts w:ascii="Times New Roman" w:hAnsi="Times New Roman" w:cs="Times New Roman"/>
                <w:bCs/>
                <w:iCs/>
                <w:sz w:val="24"/>
                <w:szCs w:val="24"/>
                <w:u w:val="single"/>
              </w:rPr>
              <w:t>apskates laikā.</w:t>
            </w:r>
          </w:p>
          <w:p w14:paraId="52ECCCE3" w14:textId="77777777" w:rsidR="00192C85" w:rsidRPr="00EA4E0C" w:rsidRDefault="00192C85" w:rsidP="00A93A47">
            <w:pPr>
              <w:jc w:val="both"/>
              <w:rPr>
                <w:rFonts w:ascii="Times New Roman" w:hAnsi="Times New Roman" w:cs="Times New Roman"/>
                <w:sz w:val="24"/>
                <w:szCs w:val="24"/>
              </w:rPr>
            </w:pPr>
          </w:p>
        </w:tc>
      </w:tr>
      <w:tr w:rsidR="00C24632" w:rsidRPr="00EA4E0C" w14:paraId="6E721899" w14:textId="77777777" w:rsidTr="00C24632">
        <w:trPr>
          <w:trHeight w:val="5243"/>
        </w:trPr>
        <w:tc>
          <w:tcPr>
            <w:tcW w:w="2757" w:type="dxa"/>
          </w:tcPr>
          <w:p w14:paraId="56077009" w14:textId="77777777" w:rsidR="00C24632" w:rsidRPr="00EA4E0C" w:rsidRDefault="00C24632" w:rsidP="006E320E">
            <w:pPr>
              <w:rPr>
                <w:rFonts w:ascii="Times New Roman" w:hAnsi="Times New Roman" w:cs="Times New Roman"/>
                <w:sz w:val="24"/>
                <w:szCs w:val="24"/>
              </w:rPr>
            </w:pPr>
            <w:r w:rsidRPr="00EA4E0C">
              <w:rPr>
                <w:rFonts w:ascii="Times New Roman" w:hAnsi="Times New Roman" w:cs="Times New Roman"/>
                <w:sz w:val="24"/>
                <w:szCs w:val="24"/>
              </w:rPr>
              <w:t>Apspriedes veids un termiņš komentāru iesūtīšanai</w:t>
            </w:r>
          </w:p>
        </w:tc>
        <w:tc>
          <w:tcPr>
            <w:tcW w:w="6243" w:type="dxa"/>
          </w:tcPr>
          <w:p w14:paraId="7661FE28" w14:textId="77777777" w:rsidR="00C24632" w:rsidRDefault="00C24632" w:rsidP="006E320E">
            <w:pPr>
              <w:jc w:val="both"/>
              <w:rPr>
                <w:rFonts w:ascii="Times New Roman" w:hAnsi="Times New Roman" w:cs="Times New Roman"/>
                <w:sz w:val="24"/>
                <w:szCs w:val="24"/>
              </w:rPr>
            </w:pPr>
            <w:r w:rsidRPr="00EA4E0C">
              <w:rPr>
                <w:rFonts w:ascii="Times New Roman" w:hAnsi="Times New Roman" w:cs="Times New Roman"/>
                <w:sz w:val="24"/>
                <w:szCs w:val="24"/>
              </w:rPr>
              <w:t xml:space="preserve">Apspriede tiek organizēta </w:t>
            </w:r>
            <w:proofErr w:type="spellStart"/>
            <w:r w:rsidRPr="00EA4E0C">
              <w:rPr>
                <w:rFonts w:ascii="Times New Roman" w:hAnsi="Times New Roman" w:cs="Times New Roman"/>
                <w:sz w:val="24"/>
                <w:szCs w:val="24"/>
              </w:rPr>
              <w:t>rakstveidā</w:t>
            </w:r>
            <w:proofErr w:type="spellEnd"/>
            <w:r w:rsidRPr="00EA4E0C">
              <w:rPr>
                <w:rFonts w:ascii="Times New Roman" w:hAnsi="Times New Roman" w:cs="Times New Roman"/>
                <w:sz w:val="24"/>
                <w:szCs w:val="24"/>
              </w:rPr>
              <w:t xml:space="preserve">. </w:t>
            </w:r>
          </w:p>
          <w:p w14:paraId="28602C29" w14:textId="77777777" w:rsidR="00C24632" w:rsidRDefault="00C24632" w:rsidP="006E320E">
            <w:pPr>
              <w:jc w:val="both"/>
              <w:rPr>
                <w:rFonts w:ascii="Times New Roman" w:hAnsi="Times New Roman" w:cs="Times New Roman"/>
                <w:sz w:val="24"/>
                <w:szCs w:val="24"/>
              </w:rPr>
            </w:pPr>
          </w:p>
          <w:p w14:paraId="0C8ADC77" w14:textId="36E5E26D" w:rsidR="00C24632" w:rsidRDefault="00C24632" w:rsidP="006E320E">
            <w:pPr>
              <w:jc w:val="both"/>
              <w:rPr>
                <w:rFonts w:ascii="Times New Roman" w:hAnsi="Times New Roman" w:cs="Times New Roman"/>
                <w:sz w:val="24"/>
                <w:szCs w:val="24"/>
              </w:rPr>
            </w:pPr>
            <w:r w:rsidRPr="00EA4E0C">
              <w:rPr>
                <w:rFonts w:ascii="Times New Roman" w:hAnsi="Times New Roman" w:cs="Times New Roman"/>
                <w:sz w:val="24"/>
                <w:szCs w:val="24"/>
              </w:rPr>
              <w:t>Termiņš komentāru un</w:t>
            </w:r>
            <w:r>
              <w:rPr>
                <w:rFonts w:ascii="Times New Roman" w:hAnsi="Times New Roman" w:cs="Times New Roman"/>
                <w:sz w:val="24"/>
                <w:szCs w:val="24"/>
              </w:rPr>
              <w:t xml:space="preserve"> </w:t>
            </w:r>
            <w:r w:rsidRPr="00EA4E0C">
              <w:rPr>
                <w:rFonts w:ascii="Times New Roman" w:hAnsi="Times New Roman" w:cs="Times New Roman"/>
                <w:sz w:val="24"/>
                <w:szCs w:val="24"/>
              </w:rPr>
              <w:t>priekšlikumu iesūtīšanai ir Iepirkumu uzraudzības biroja Publikāciju vadības sistēmas paziņojumā un EIS norādītais priekšlikumu iesniegšanas termiņš</w:t>
            </w:r>
            <w:r>
              <w:rPr>
                <w:rFonts w:ascii="Times New Roman" w:hAnsi="Times New Roman" w:cs="Times New Roman"/>
                <w:sz w:val="24"/>
                <w:szCs w:val="24"/>
              </w:rPr>
              <w:t xml:space="preserve"> </w:t>
            </w:r>
            <w:r w:rsidRPr="0018536C">
              <w:rPr>
                <w:rFonts w:ascii="Times New Roman" w:hAnsi="Times New Roman" w:cs="Times New Roman"/>
                <w:b/>
                <w:bCs/>
                <w:sz w:val="24"/>
                <w:szCs w:val="24"/>
              </w:rPr>
              <w:t>(</w:t>
            </w:r>
            <w:r w:rsidR="0018536C" w:rsidRPr="0018536C">
              <w:rPr>
                <w:rFonts w:ascii="Times New Roman" w:hAnsi="Times New Roman" w:cs="Times New Roman"/>
                <w:b/>
                <w:bCs/>
                <w:sz w:val="24"/>
                <w:szCs w:val="24"/>
              </w:rPr>
              <w:t>27.08.</w:t>
            </w:r>
            <w:r w:rsidRPr="0018536C">
              <w:rPr>
                <w:rFonts w:ascii="Times New Roman" w:hAnsi="Times New Roman" w:cs="Times New Roman"/>
                <w:b/>
                <w:bCs/>
                <w:sz w:val="24"/>
                <w:szCs w:val="24"/>
              </w:rPr>
              <w:t>2025.).</w:t>
            </w:r>
          </w:p>
          <w:p w14:paraId="46388437" w14:textId="77777777" w:rsidR="00C24632" w:rsidRDefault="00C24632" w:rsidP="006E320E">
            <w:pPr>
              <w:jc w:val="both"/>
              <w:rPr>
                <w:rFonts w:ascii="Times New Roman" w:hAnsi="Times New Roman" w:cs="Times New Roman"/>
                <w:b/>
                <w:bCs/>
                <w:sz w:val="24"/>
                <w:szCs w:val="24"/>
                <w:u w:val="single"/>
              </w:rPr>
            </w:pPr>
          </w:p>
          <w:p w14:paraId="01351AA9" w14:textId="77777777" w:rsidR="00C24632" w:rsidRPr="00EA4E0C" w:rsidRDefault="00C24632" w:rsidP="006E320E">
            <w:pPr>
              <w:jc w:val="both"/>
              <w:rPr>
                <w:rFonts w:ascii="Times New Roman" w:hAnsi="Times New Roman" w:cs="Times New Roman"/>
                <w:sz w:val="24"/>
                <w:szCs w:val="24"/>
              </w:rPr>
            </w:pPr>
            <w:r w:rsidRPr="00EA4E0C">
              <w:rPr>
                <w:rFonts w:ascii="Times New Roman" w:hAnsi="Times New Roman" w:cs="Times New Roman"/>
                <w:b/>
                <w:bCs/>
                <w:sz w:val="24"/>
                <w:szCs w:val="24"/>
                <w:u w:val="single"/>
              </w:rPr>
              <w:t>Komentāru un priekšlikumu iesūtīšana veicama EIS</w:t>
            </w:r>
            <w:r>
              <w:rPr>
                <w:rFonts w:ascii="Times New Roman" w:hAnsi="Times New Roman" w:cs="Times New Roman"/>
                <w:b/>
                <w:bCs/>
                <w:sz w:val="24"/>
                <w:szCs w:val="24"/>
                <w:u w:val="single"/>
              </w:rPr>
              <w:t xml:space="preserve"> vai nosūtot uz e-pastu iepirkumi@vbp.lv.</w:t>
            </w:r>
          </w:p>
          <w:p w14:paraId="6D4C6F5A" w14:textId="77777777" w:rsidR="00C24632" w:rsidRDefault="00C24632" w:rsidP="006E320E">
            <w:pPr>
              <w:jc w:val="both"/>
              <w:rPr>
                <w:rFonts w:ascii="Times New Roman" w:hAnsi="Times New Roman" w:cs="Times New Roman"/>
                <w:sz w:val="24"/>
                <w:szCs w:val="24"/>
              </w:rPr>
            </w:pPr>
          </w:p>
          <w:p w14:paraId="2858C51C" w14:textId="77777777" w:rsidR="00C24632" w:rsidRDefault="00C24632" w:rsidP="006E320E">
            <w:pPr>
              <w:jc w:val="both"/>
              <w:rPr>
                <w:rFonts w:ascii="Times New Roman" w:hAnsi="Times New Roman" w:cs="Times New Roman"/>
                <w:sz w:val="24"/>
                <w:szCs w:val="24"/>
              </w:rPr>
            </w:pPr>
            <w:r w:rsidRPr="00EA4E0C">
              <w:rPr>
                <w:rFonts w:ascii="Times New Roman" w:hAnsi="Times New Roman" w:cs="Times New Roman"/>
                <w:sz w:val="24"/>
                <w:szCs w:val="24"/>
              </w:rPr>
              <w:t xml:space="preserve">Iepirkuma komisija ieinteresētajam piegādātājam, kurš iesniedzis priekšlikumus iepirkuma dokumentācijas pilnveidei, nesniedz </w:t>
            </w:r>
            <w:r>
              <w:rPr>
                <w:rFonts w:ascii="Times New Roman" w:hAnsi="Times New Roman" w:cs="Times New Roman"/>
                <w:sz w:val="24"/>
                <w:szCs w:val="24"/>
              </w:rPr>
              <w:t>personīgu</w:t>
            </w:r>
            <w:r w:rsidRPr="00EA4E0C">
              <w:rPr>
                <w:rFonts w:ascii="Times New Roman" w:hAnsi="Times New Roman" w:cs="Times New Roman"/>
                <w:sz w:val="24"/>
                <w:szCs w:val="24"/>
              </w:rPr>
              <w:t xml:space="preserve"> priekšlikumu </w:t>
            </w:r>
            <w:proofErr w:type="spellStart"/>
            <w:r w:rsidRPr="00EA4E0C">
              <w:rPr>
                <w:rFonts w:ascii="Times New Roman" w:hAnsi="Times New Roman" w:cs="Times New Roman"/>
                <w:sz w:val="24"/>
                <w:szCs w:val="24"/>
              </w:rPr>
              <w:t>izvērtējumu</w:t>
            </w:r>
            <w:proofErr w:type="spellEnd"/>
            <w:r w:rsidRPr="00EA4E0C">
              <w:rPr>
                <w:rFonts w:ascii="Times New Roman" w:hAnsi="Times New Roman" w:cs="Times New Roman"/>
                <w:sz w:val="24"/>
                <w:szCs w:val="24"/>
              </w:rPr>
              <w:t xml:space="preserve"> un pamatojumu piedāvāto priekšlikumu iekļaušanai vai neiekļaušanai iepirkuma dokumentācijā.</w:t>
            </w:r>
          </w:p>
          <w:p w14:paraId="708E9A76" w14:textId="77777777" w:rsidR="00C24632" w:rsidRDefault="00C24632" w:rsidP="006E320E">
            <w:pPr>
              <w:jc w:val="both"/>
              <w:rPr>
                <w:rFonts w:ascii="Times New Roman" w:hAnsi="Times New Roman" w:cs="Times New Roman"/>
                <w:sz w:val="24"/>
                <w:szCs w:val="24"/>
              </w:rPr>
            </w:pPr>
          </w:p>
          <w:p w14:paraId="29C89229" w14:textId="77777777" w:rsidR="00C24632" w:rsidRDefault="00C24632" w:rsidP="006E320E">
            <w:pPr>
              <w:jc w:val="both"/>
              <w:rPr>
                <w:rFonts w:ascii="Times New Roman" w:hAnsi="Times New Roman" w:cs="Times New Roman"/>
                <w:sz w:val="24"/>
                <w:szCs w:val="24"/>
              </w:rPr>
            </w:pPr>
            <w:r>
              <w:rPr>
                <w:rFonts w:ascii="Times New Roman" w:hAnsi="Times New Roman" w:cs="Times New Roman"/>
                <w:sz w:val="24"/>
                <w:szCs w:val="24"/>
              </w:rPr>
              <w:t xml:space="preserve">Apspriedes ziņojums tiks publicēts EIS un Pasūtītāja mājas lapā </w:t>
            </w:r>
            <w:hyperlink r:id="rId9" w:history="1">
              <w:r w:rsidRPr="00D24D86">
                <w:rPr>
                  <w:rStyle w:val="Hyperlink"/>
                  <w:rFonts w:ascii="Times New Roman" w:hAnsi="Times New Roman" w:cs="Times New Roman"/>
                  <w:sz w:val="24"/>
                  <w:szCs w:val="24"/>
                </w:rPr>
                <w:t>www.portofventspils.lv</w:t>
              </w:r>
            </w:hyperlink>
            <w:r>
              <w:rPr>
                <w:rFonts w:ascii="Times New Roman" w:hAnsi="Times New Roman" w:cs="Times New Roman"/>
                <w:sz w:val="24"/>
                <w:szCs w:val="24"/>
              </w:rPr>
              <w:t xml:space="preserve"> pie attiecīgā iepirkuma paziņojuma.</w:t>
            </w:r>
          </w:p>
          <w:p w14:paraId="0E9BFAF3" w14:textId="77777777" w:rsidR="00C24632" w:rsidRDefault="00C24632" w:rsidP="006E320E">
            <w:pPr>
              <w:jc w:val="both"/>
              <w:rPr>
                <w:rFonts w:ascii="Times New Roman" w:hAnsi="Times New Roman" w:cs="Times New Roman"/>
                <w:sz w:val="24"/>
                <w:szCs w:val="24"/>
              </w:rPr>
            </w:pPr>
          </w:p>
          <w:p w14:paraId="10F6FDC5" w14:textId="77777777" w:rsidR="00C24632" w:rsidRPr="00EA4E0C" w:rsidRDefault="00C24632" w:rsidP="006E320E">
            <w:pPr>
              <w:jc w:val="both"/>
              <w:rPr>
                <w:rFonts w:ascii="Times New Roman" w:hAnsi="Times New Roman" w:cs="Times New Roman"/>
                <w:sz w:val="24"/>
                <w:szCs w:val="24"/>
              </w:rPr>
            </w:pPr>
          </w:p>
        </w:tc>
      </w:tr>
    </w:tbl>
    <w:p w14:paraId="3E516E48" w14:textId="77777777" w:rsidR="004C21C8" w:rsidRDefault="004C21C8" w:rsidP="004C21C8"/>
    <w:p w14:paraId="0B0124AB" w14:textId="77777777" w:rsidR="004C21C8" w:rsidRDefault="004C21C8" w:rsidP="00AC58F5">
      <w:pPr>
        <w:spacing w:after="0" w:line="240" w:lineRule="auto"/>
        <w:ind w:right="-57"/>
        <w:jc w:val="center"/>
        <w:rPr>
          <w:rFonts w:ascii="Times New Roman" w:hAnsi="Times New Roman" w:cs="Times New Roman"/>
          <w:b/>
          <w:sz w:val="24"/>
          <w:szCs w:val="24"/>
        </w:rPr>
      </w:pPr>
    </w:p>
    <w:sectPr w:rsidR="004C21C8" w:rsidSect="00AC58F5">
      <w:pgSz w:w="11906" w:h="16838"/>
      <w:pgMar w:top="284" w:right="1800"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E0D8" w14:textId="77777777" w:rsidR="00D02B63" w:rsidRDefault="00D02B63" w:rsidP="00D02B63">
      <w:pPr>
        <w:spacing w:after="0" w:line="240" w:lineRule="auto"/>
      </w:pPr>
      <w:r>
        <w:separator/>
      </w:r>
    </w:p>
  </w:endnote>
  <w:endnote w:type="continuationSeparator" w:id="0">
    <w:p w14:paraId="63C86772" w14:textId="77777777" w:rsidR="00D02B63" w:rsidRDefault="00D02B63" w:rsidP="00D0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atoLatin">
    <w:altName w:val="Segoe UI"/>
    <w:charset w:val="BA"/>
    <w:family w:val="swiss"/>
    <w:pitch w:val="variable"/>
    <w:sig w:usb0="A00000AF" w:usb1="5000204A" w:usb2="00000000" w:usb3="00000000" w:csb0="00000093"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2C48" w14:textId="77777777" w:rsidR="00D02B63" w:rsidRDefault="00D02B63" w:rsidP="00D02B63">
      <w:pPr>
        <w:spacing w:after="0" w:line="240" w:lineRule="auto"/>
      </w:pPr>
      <w:r>
        <w:separator/>
      </w:r>
    </w:p>
  </w:footnote>
  <w:footnote w:type="continuationSeparator" w:id="0">
    <w:p w14:paraId="617B0E90" w14:textId="77777777" w:rsidR="00D02B63" w:rsidRDefault="00D02B63" w:rsidP="00D02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647F42"/>
    <w:lvl w:ilvl="0">
      <w:start w:val="1"/>
      <w:numFmt w:val="bullet"/>
      <w:pStyle w:val="ParagrfsRakstz"/>
      <w:lvlText w:val=""/>
      <w:lvlJc w:val="left"/>
      <w:pPr>
        <w:tabs>
          <w:tab w:val="num" w:pos="643"/>
        </w:tabs>
        <w:ind w:left="643" w:hanging="360"/>
      </w:pPr>
      <w:rPr>
        <w:rFonts w:ascii="Symbol" w:hAnsi="Symbol" w:hint="default"/>
      </w:rPr>
    </w:lvl>
  </w:abstractNum>
  <w:abstractNum w:abstractNumId="1" w15:restartNumberingAfterBreak="0">
    <w:nsid w:val="0E5C1189"/>
    <w:multiLevelType w:val="multilevel"/>
    <w:tmpl w:val="52B434F2"/>
    <w:lvl w:ilvl="0">
      <w:start w:val="1"/>
      <w:numFmt w:val="decimal"/>
      <w:lvlText w:val="%1."/>
      <w:lvlJc w:val="left"/>
      <w:pPr>
        <w:tabs>
          <w:tab w:val="num" w:pos="851"/>
        </w:tabs>
        <w:ind w:left="851" w:hanging="851"/>
      </w:pPr>
      <w:rPr>
        <w:rFonts w:cs="Times New Roman" w:hint="default"/>
        <w:b/>
      </w:rPr>
    </w:lvl>
    <w:lvl w:ilvl="1">
      <w:start w:val="1"/>
      <w:numFmt w:val="decimal"/>
      <w:lvlText w:val="%1.%2."/>
      <w:lvlJc w:val="left"/>
      <w:pPr>
        <w:tabs>
          <w:tab w:val="num" w:pos="2128"/>
        </w:tabs>
        <w:ind w:left="2128" w:hanging="851"/>
      </w:pPr>
      <w:rPr>
        <w:rFonts w:cs="Times New Roman" w:hint="default"/>
        <w:b w:val="0"/>
      </w:rPr>
    </w:lvl>
    <w:lvl w:ilvl="2">
      <w:start w:val="1"/>
      <w:numFmt w:val="decimal"/>
      <w:pStyle w:val="RixL3"/>
      <w:lvlText w:val="%1.%2.%3."/>
      <w:lvlJc w:val="left"/>
      <w:pPr>
        <w:tabs>
          <w:tab w:val="num" w:pos="1277"/>
        </w:tabs>
        <w:ind w:left="1277" w:hanging="851"/>
      </w:pPr>
      <w:rPr>
        <w:rFonts w:ascii="LatoLatin" w:hAnsi="LatoLatin" w:cs="Arial" w:hint="default"/>
        <w:b w:val="0"/>
        <w:sz w:val="20"/>
        <w:szCs w:val="22"/>
      </w:rPr>
    </w:lvl>
    <w:lvl w:ilvl="3">
      <w:start w:val="1"/>
      <w:numFmt w:val="decimal"/>
      <w:lvlText w:val="%1.%2.%3.%4."/>
      <w:lvlJc w:val="left"/>
      <w:pPr>
        <w:tabs>
          <w:tab w:val="num" w:pos="851"/>
        </w:tabs>
        <w:ind w:left="851" w:hanging="851"/>
      </w:pPr>
      <w:rPr>
        <w:rFonts w:cs="Times New Roman" w:hint="default"/>
        <w:b w:val="0"/>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 w15:restartNumberingAfterBreak="0">
    <w:nsid w:val="1A9C7FD6"/>
    <w:multiLevelType w:val="multilevel"/>
    <w:tmpl w:val="3CF056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6E685F3D"/>
    <w:multiLevelType w:val="hybridMultilevel"/>
    <w:tmpl w:val="0FF217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3205A16"/>
    <w:multiLevelType w:val="multilevel"/>
    <w:tmpl w:val="A1FE05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6C1F45"/>
    <w:multiLevelType w:val="hybridMultilevel"/>
    <w:tmpl w:val="4050CC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BC3387F"/>
    <w:multiLevelType w:val="hybridMultilevel"/>
    <w:tmpl w:val="C480F66C"/>
    <w:lvl w:ilvl="0" w:tplc="A81CE5F0">
      <w:numFmt w:val="bullet"/>
      <w:lvlText w:val="-"/>
      <w:lvlJc w:val="left"/>
      <w:pPr>
        <w:ind w:left="720" w:hanging="360"/>
      </w:pPr>
      <w:rPr>
        <w:rFonts w:ascii="LatoLatin" w:eastAsiaTheme="minorHAnsi" w:hAnsi="LatoLatin"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4984737">
    <w:abstractNumId w:val="0"/>
  </w:num>
  <w:num w:numId="2" w16cid:durableId="1803496487">
    <w:abstractNumId w:val="1"/>
  </w:num>
  <w:num w:numId="3" w16cid:durableId="167913179">
    <w:abstractNumId w:val="7"/>
  </w:num>
  <w:num w:numId="4" w16cid:durableId="1630357629">
    <w:abstractNumId w:val="3"/>
  </w:num>
  <w:num w:numId="5" w16cid:durableId="1566065569">
    <w:abstractNumId w:val="5"/>
  </w:num>
  <w:num w:numId="6" w16cid:durableId="1654798557">
    <w:abstractNumId w:val="2"/>
  </w:num>
  <w:num w:numId="7" w16cid:durableId="2012561045">
    <w:abstractNumId w:val="6"/>
  </w:num>
  <w:num w:numId="8" w16cid:durableId="1580406468">
    <w:abstractNumId w:val="4"/>
  </w:num>
  <w:num w:numId="9" w16cid:durableId="921374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53"/>
    <w:rsid w:val="000048DA"/>
    <w:rsid w:val="000D69AA"/>
    <w:rsid w:val="0018536C"/>
    <w:rsid w:val="00192C85"/>
    <w:rsid w:val="001E33C1"/>
    <w:rsid w:val="00205D51"/>
    <w:rsid w:val="00215B8F"/>
    <w:rsid w:val="002936CD"/>
    <w:rsid w:val="002C5878"/>
    <w:rsid w:val="002F2748"/>
    <w:rsid w:val="00313AF5"/>
    <w:rsid w:val="00363D87"/>
    <w:rsid w:val="003F614C"/>
    <w:rsid w:val="00422175"/>
    <w:rsid w:val="004A7D24"/>
    <w:rsid w:val="004B48E5"/>
    <w:rsid w:val="004C21C8"/>
    <w:rsid w:val="005423B3"/>
    <w:rsid w:val="0055480B"/>
    <w:rsid w:val="00582A7A"/>
    <w:rsid w:val="00660EB6"/>
    <w:rsid w:val="00661A3F"/>
    <w:rsid w:val="00692CF8"/>
    <w:rsid w:val="00694889"/>
    <w:rsid w:val="006D2F82"/>
    <w:rsid w:val="0075080D"/>
    <w:rsid w:val="00782C16"/>
    <w:rsid w:val="00794068"/>
    <w:rsid w:val="0080216F"/>
    <w:rsid w:val="008430F8"/>
    <w:rsid w:val="00861C31"/>
    <w:rsid w:val="009723DD"/>
    <w:rsid w:val="009C6735"/>
    <w:rsid w:val="00A00CAA"/>
    <w:rsid w:val="00A239AB"/>
    <w:rsid w:val="00A27268"/>
    <w:rsid w:val="00A30C54"/>
    <w:rsid w:val="00A65B0C"/>
    <w:rsid w:val="00AA3809"/>
    <w:rsid w:val="00AC58F5"/>
    <w:rsid w:val="00AE102F"/>
    <w:rsid w:val="00AF2E3C"/>
    <w:rsid w:val="00B94E5D"/>
    <w:rsid w:val="00BA7BD1"/>
    <w:rsid w:val="00C24632"/>
    <w:rsid w:val="00C27621"/>
    <w:rsid w:val="00C439EA"/>
    <w:rsid w:val="00C54437"/>
    <w:rsid w:val="00C70314"/>
    <w:rsid w:val="00CE0C7C"/>
    <w:rsid w:val="00CF4EA5"/>
    <w:rsid w:val="00D02B63"/>
    <w:rsid w:val="00D83EB7"/>
    <w:rsid w:val="00D9005C"/>
    <w:rsid w:val="00DC45A2"/>
    <w:rsid w:val="00DC46E1"/>
    <w:rsid w:val="00E04153"/>
    <w:rsid w:val="00E4582C"/>
    <w:rsid w:val="00E602C3"/>
    <w:rsid w:val="00E7097B"/>
    <w:rsid w:val="00EA4E0C"/>
    <w:rsid w:val="00EA720B"/>
    <w:rsid w:val="00EF549E"/>
    <w:rsid w:val="00F3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72AE"/>
  <w15:chartTrackingRefBased/>
  <w15:docId w15:val="{CE528C78-56E1-48B3-9BDA-B5D8F77F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fsRakstz">
    <w:name w:val="Paragrāfs Rakstz."/>
    <w:basedOn w:val="Normal"/>
    <w:next w:val="Normal"/>
    <w:link w:val="ParagrfsRakstzRakstz"/>
    <w:uiPriority w:val="99"/>
    <w:rsid w:val="00E04153"/>
    <w:pPr>
      <w:numPr>
        <w:numId w:val="1"/>
      </w:numPr>
      <w:tabs>
        <w:tab w:val="clear" w:pos="643"/>
        <w:tab w:val="num" w:pos="1277"/>
      </w:tabs>
      <w:spacing w:after="0" w:line="240" w:lineRule="auto"/>
      <w:ind w:left="1277" w:hanging="851"/>
      <w:jc w:val="both"/>
    </w:pPr>
    <w:rPr>
      <w:rFonts w:ascii="Arial" w:eastAsia="Times New Roman" w:hAnsi="Arial" w:cs="Times New Roman"/>
      <w:sz w:val="20"/>
      <w:szCs w:val="24"/>
      <w:lang w:eastAsia="lv-LV"/>
    </w:rPr>
  </w:style>
  <w:style w:type="character" w:customStyle="1" w:styleId="ParagrfsRakstzRakstz">
    <w:name w:val="Paragrāfs Rakstz. Rakstz."/>
    <w:link w:val="ParagrfsRakstz"/>
    <w:uiPriority w:val="99"/>
    <w:locked/>
    <w:rsid w:val="00E04153"/>
    <w:rPr>
      <w:rFonts w:ascii="Arial" w:eastAsia="Times New Roman" w:hAnsi="Arial" w:cs="Times New Roman"/>
      <w:sz w:val="20"/>
      <w:szCs w:val="24"/>
      <w:lang w:eastAsia="lv-LV"/>
    </w:rPr>
  </w:style>
  <w:style w:type="paragraph" w:customStyle="1" w:styleId="RixL3">
    <w:name w:val="Rix_L3"/>
    <w:basedOn w:val="ListParagraph"/>
    <w:autoRedefine/>
    <w:qFormat/>
    <w:rsid w:val="00E04153"/>
    <w:pPr>
      <w:numPr>
        <w:ilvl w:val="2"/>
        <w:numId w:val="2"/>
      </w:numPr>
      <w:tabs>
        <w:tab w:val="clear" w:pos="1277"/>
        <w:tab w:val="num" w:pos="360"/>
        <w:tab w:val="left" w:pos="567"/>
      </w:tabs>
      <w:spacing w:after="120" w:line="240" w:lineRule="auto"/>
      <w:ind w:left="720" w:right="-6" w:firstLine="0"/>
      <w:contextualSpacing w:val="0"/>
      <w:jc w:val="both"/>
    </w:pPr>
    <w:rPr>
      <w:rFonts w:ascii="LatoLatin" w:eastAsia="Calibri" w:hAnsi="LatoLatin" w:cs="Times New Roman"/>
      <w:noProof/>
      <w:sz w:val="20"/>
      <w:lang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E04153"/>
    <w:pPr>
      <w:ind w:left="720"/>
      <w:contextualSpacing/>
    </w:pPr>
  </w:style>
  <w:style w:type="character" w:styleId="Hyperlink">
    <w:name w:val="Hyperlink"/>
    <w:basedOn w:val="DefaultParagraphFont"/>
    <w:uiPriority w:val="99"/>
    <w:unhideWhenUsed/>
    <w:rsid w:val="00694889"/>
    <w:rPr>
      <w:color w:val="0563C1" w:themeColor="hyperlink"/>
      <w:u w:val="single"/>
    </w:rPr>
  </w:style>
  <w:style w:type="character" w:styleId="UnresolvedMention">
    <w:name w:val="Unresolved Mention"/>
    <w:basedOn w:val="DefaultParagraphFont"/>
    <w:uiPriority w:val="99"/>
    <w:semiHidden/>
    <w:unhideWhenUsed/>
    <w:rsid w:val="00694889"/>
    <w:rPr>
      <w:color w:val="605E5C"/>
      <w:shd w:val="clear" w:color="auto" w:fill="E1DFDD"/>
    </w:rPr>
  </w:style>
  <w:style w:type="character" w:customStyle="1" w:styleId="cf01">
    <w:name w:val="cf01"/>
    <w:basedOn w:val="DefaultParagraphFont"/>
    <w:rsid w:val="000048DA"/>
    <w:rPr>
      <w:rFonts w:ascii="Segoe UI" w:hAnsi="Segoe UI" w:cs="Segoe UI" w:hint="default"/>
      <w:sz w:val="18"/>
      <w:szCs w:val="18"/>
    </w:rPr>
  </w:style>
  <w:style w:type="paragraph" w:styleId="BlockText">
    <w:name w:val="Block Text"/>
    <w:basedOn w:val="Normal"/>
    <w:rsid w:val="00EA4E0C"/>
    <w:pPr>
      <w:spacing w:after="0" w:line="240" w:lineRule="auto"/>
      <w:ind w:left="851" w:right="-58"/>
    </w:pPr>
    <w:rPr>
      <w:rFonts w:ascii="Times New Roman" w:eastAsia="Times New Roman" w:hAnsi="Times New Roman" w:cs="Times New Roman"/>
      <w:sz w:val="24"/>
      <w:szCs w:val="20"/>
    </w:rPr>
  </w:style>
  <w:style w:type="paragraph" w:customStyle="1" w:styleId="Punkts">
    <w:name w:val="Punkts"/>
    <w:basedOn w:val="Normal"/>
    <w:next w:val="Apakpunkts"/>
    <w:rsid w:val="00A27268"/>
    <w:pPr>
      <w:tabs>
        <w:tab w:val="num" w:pos="851"/>
      </w:tabs>
      <w:spacing w:after="0" w:line="240" w:lineRule="auto"/>
      <w:ind w:left="851" w:hanging="851"/>
    </w:pPr>
    <w:rPr>
      <w:rFonts w:ascii="Arial" w:eastAsia="Times New Roman" w:hAnsi="Arial" w:cs="Times New Roman"/>
      <w:b/>
      <w:sz w:val="20"/>
      <w:szCs w:val="24"/>
      <w:lang w:eastAsia="lv-LV"/>
    </w:rPr>
  </w:style>
  <w:style w:type="paragraph" w:customStyle="1" w:styleId="Apakpunkts">
    <w:name w:val="Apakšpunkts"/>
    <w:basedOn w:val="Normal"/>
    <w:rsid w:val="00A27268"/>
    <w:pPr>
      <w:tabs>
        <w:tab w:val="num" w:pos="2651"/>
      </w:tabs>
      <w:spacing w:after="0" w:line="240" w:lineRule="auto"/>
      <w:ind w:left="2651" w:hanging="851"/>
    </w:pPr>
    <w:rPr>
      <w:rFonts w:ascii="Arial" w:eastAsia="Times New Roman" w:hAnsi="Arial" w:cs="Times New Roman"/>
      <w:b/>
      <w:sz w:val="20"/>
      <w:szCs w:val="24"/>
      <w:lang w:eastAsia="lv-LV"/>
    </w:rPr>
  </w:style>
  <w:style w:type="paragraph" w:customStyle="1" w:styleId="Paragrfs">
    <w:name w:val="Paragrāfs"/>
    <w:basedOn w:val="Normal"/>
    <w:next w:val="Normal"/>
    <w:link w:val="ParagrfsChar"/>
    <w:rsid w:val="00A27268"/>
    <w:pPr>
      <w:tabs>
        <w:tab w:val="num" w:pos="1211"/>
      </w:tabs>
      <w:spacing w:after="0" w:line="240" w:lineRule="auto"/>
      <w:ind w:left="1211" w:hanging="851"/>
      <w:jc w:val="both"/>
    </w:pPr>
    <w:rPr>
      <w:rFonts w:ascii="Arial" w:eastAsia="Times New Roman" w:hAnsi="Arial" w:cs="Times New Roman"/>
      <w:sz w:val="20"/>
      <w:szCs w:val="24"/>
      <w:lang w:eastAsia="lv-LV"/>
    </w:rPr>
  </w:style>
  <w:style w:type="character" w:customStyle="1" w:styleId="ParagrfsChar">
    <w:name w:val="Paragrāfs Char"/>
    <w:link w:val="Paragrfs"/>
    <w:rsid w:val="00A27268"/>
    <w:rPr>
      <w:rFonts w:ascii="Arial" w:eastAsia="Times New Roman" w:hAnsi="Arial" w:cs="Times New Roman"/>
      <w:sz w:val="20"/>
      <w:szCs w:val="24"/>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02B63"/>
  </w:style>
  <w:style w:type="paragraph" w:styleId="FootnoteText">
    <w:name w:val="footnote text"/>
    <w:aliases w:val="Footnote,Fußnote,fn,FT,ft,SD Footnote Text,Footnote Text AG,Fußnote Char Char,Fußnote Char Char Char Char Char Char,Char10,Fußnotentext Char Char Char,Fußnotentext Char Char Char Char Char Char Char Char Char Char, Rakstz. Rakstz.,Rakstz."/>
    <w:basedOn w:val="Normal"/>
    <w:link w:val="FootnoteTextChar"/>
    <w:uiPriority w:val="99"/>
    <w:qFormat/>
    <w:rsid w:val="00D02B63"/>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fn Char,FT Char,ft Char,SD Footnote Text Char,Footnote Text AG Char,Fußnote Char Char Char,Fußnote Char Char Char Char Char Char Char,Char10 Char,Fußnotentext Char Char Char Char, Rakstz. Rakstz. Char"/>
    <w:basedOn w:val="DefaultParagraphFont"/>
    <w:link w:val="FootnoteText"/>
    <w:uiPriority w:val="99"/>
    <w:rsid w:val="00D02B63"/>
    <w:rPr>
      <w:rFonts w:ascii="Times New Roman" w:eastAsia="Times New Roman" w:hAnsi="Times New Roman" w:cs="Times New Roman"/>
      <w:sz w:val="20"/>
      <w:szCs w:val="20"/>
      <w:lang w:val="en-US" w:eastAsia="lv-LV"/>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4"/>
    <w:link w:val="Char2"/>
    <w:uiPriority w:val="99"/>
    <w:unhideWhenUsed/>
    <w:qFormat/>
    <w:rsid w:val="00D02B63"/>
    <w:rPr>
      <w:vertAlign w:val="superscript"/>
    </w:rPr>
  </w:style>
  <w:style w:type="character" w:styleId="Emphasis">
    <w:name w:val="Emphasis"/>
    <w:basedOn w:val="DefaultParagraphFont"/>
    <w:uiPriority w:val="20"/>
    <w:qFormat/>
    <w:rsid w:val="00D02B63"/>
    <w:rPr>
      <w:i/>
      <w:iCs/>
    </w:rPr>
  </w:style>
  <w:style w:type="paragraph" w:customStyle="1" w:styleId="Char2">
    <w:name w:val="Char2"/>
    <w:basedOn w:val="Normal"/>
    <w:next w:val="Normal"/>
    <w:link w:val="FootnoteReference"/>
    <w:uiPriority w:val="99"/>
    <w:rsid w:val="00D02B63"/>
    <w:pPr>
      <w:spacing w:after="0"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3" Type="http://schemas.openxmlformats.org/officeDocument/2006/relationships/settings" Target="settings.xml"/><Relationship Id="rId7" Type="http://schemas.openxmlformats.org/officeDocument/2006/relationships/hyperlink" Target="mailto:iepirkumi@vb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rtofvents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4984</Words>
  <Characters>2842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Sventecka</dc:creator>
  <cp:keywords/>
  <dc:description/>
  <cp:lastModifiedBy>Ilze Remerte</cp:lastModifiedBy>
  <cp:revision>9</cp:revision>
  <dcterms:created xsi:type="dcterms:W3CDTF">2025-08-13T08:30:00Z</dcterms:created>
  <dcterms:modified xsi:type="dcterms:W3CDTF">2025-08-13T12:30:00Z</dcterms:modified>
</cp:coreProperties>
</file>