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A859CA">
        <w:rPr>
          <w:sz w:val="20"/>
        </w:rPr>
        <w:t>06.novembra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Default="00522927" w:rsidP="00522927">
      <w:pPr>
        <w:ind w:right="-57"/>
        <w:jc w:val="center"/>
        <w:rPr>
          <w:b/>
          <w:sz w:val="48"/>
          <w:szCs w:val="48"/>
        </w:rPr>
      </w:pPr>
    </w:p>
    <w:p w:rsidR="00DF4580" w:rsidRPr="003144F2" w:rsidRDefault="00DF4580" w:rsidP="00522927">
      <w:pPr>
        <w:ind w:right="-57"/>
        <w:jc w:val="center"/>
        <w:rPr>
          <w:b/>
          <w:sz w:val="48"/>
          <w:szCs w:val="48"/>
        </w:rPr>
      </w:pPr>
    </w:p>
    <w:p w:rsidR="00A859CA" w:rsidRPr="00A859CA" w:rsidRDefault="00F04483" w:rsidP="00A859CA">
      <w:pPr>
        <w:ind w:right="-57"/>
        <w:jc w:val="center"/>
        <w:rPr>
          <w:b/>
          <w:sz w:val="48"/>
          <w:szCs w:val="44"/>
        </w:rPr>
      </w:pPr>
      <w:r w:rsidRPr="0093680C">
        <w:rPr>
          <w:b/>
          <w:sz w:val="40"/>
          <w:szCs w:val="40"/>
        </w:rPr>
        <w:t>„</w:t>
      </w:r>
      <w:r w:rsidR="00A859CA" w:rsidRPr="00A859CA">
        <w:rPr>
          <w:b/>
          <w:sz w:val="48"/>
          <w:szCs w:val="44"/>
        </w:rPr>
        <w:t xml:space="preserve">Reklāmas aktivitāšu īstenošana </w:t>
      </w:r>
    </w:p>
    <w:p w:rsidR="00F04483" w:rsidRPr="0093680C" w:rsidRDefault="00A859CA" w:rsidP="00A859CA">
      <w:pPr>
        <w:ind w:right="-57"/>
        <w:jc w:val="center"/>
        <w:rPr>
          <w:b/>
          <w:sz w:val="40"/>
          <w:szCs w:val="40"/>
        </w:rPr>
      </w:pPr>
      <w:r w:rsidRPr="00A859CA">
        <w:rPr>
          <w:b/>
          <w:sz w:val="48"/>
          <w:szCs w:val="44"/>
        </w:rPr>
        <w:t xml:space="preserve">2019.gadā </w:t>
      </w:r>
      <w:r w:rsidR="00E73FDC">
        <w:rPr>
          <w:b/>
          <w:sz w:val="48"/>
          <w:szCs w:val="44"/>
        </w:rPr>
        <w:t>futbola</w:t>
      </w:r>
      <w:r w:rsidRPr="00A859CA">
        <w:rPr>
          <w:b/>
          <w:sz w:val="48"/>
          <w:szCs w:val="44"/>
        </w:rPr>
        <w:t xml:space="preserve"> spēļu laikā</w:t>
      </w:r>
      <w:r w:rsidR="00F04483"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510460">
        <w:rPr>
          <w:b/>
          <w:sz w:val="40"/>
          <w:szCs w:val="40"/>
        </w:rPr>
        <w:t>1</w:t>
      </w:r>
      <w:r w:rsidR="00E73FDC">
        <w:rPr>
          <w:b/>
          <w:sz w:val="40"/>
          <w:szCs w:val="40"/>
        </w:rPr>
        <w:t>63</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Default="00522927"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Pr="003144F2" w:rsidRDefault="00DF4580" w:rsidP="00522927">
      <w:pPr>
        <w:ind w:right="-57"/>
        <w:rPr>
          <w:sz w:val="24"/>
        </w:rPr>
      </w:pPr>
    </w:p>
    <w:p w:rsidR="003605F8" w:rsidRPr="00BF3ED5" w:rsidRDefault="00522927" w:rsidP="00BF3ED5">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46E47">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4</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477584" w:rsidP="00477067">
            <w:pPr>
              <w:ind w:right="34"/>
              <w:jc w:val="right"/>
              <w:rPr>
                <w:sz w:val="24"/>
                <w:szCs w:val="24"/>
              </w:rPr>
            </w:pPr>
            <w:r>
              <w:rPr>
                <w:sz w:val="24"/>
                <w:szCs w:val="24"/>
              </w:rPr>
              <w:t>15</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584" w:rsidP="00031BAB">
            <w:pPr>
              <w:ind w:right="34"/>
              <w:jc w:val="right"/>
              <w:rPr>
                <w:sz w:val="24"/>
                <w:szCs w:val="24"/>
              </w:rPr>
            </w:pPr>
            <w:r>
              <w:rPr>
                <w:sz w:val="24"/>
                <w:szCs w:val="24"/>
              </w:rPr>
              <w:t>1</w:t>
            </w:r>
            <w:r w:rsidR="00046E47">
              <w:rPr>
                <w:sz w:val="24"/>
                <w:szCs w:val="24"/>
              </w:rPr>
              <w:t>6</w:t>
            </w:r>
            <w:r w:rsidR="00E94FFA" w:rsidRPr="003144F2">
              <w:rPr>
                <w:sz w:val="24"/>
                <w:szCs w:val="24"/>
              </w:rPr>
              <w:t>.lpp.</w:t>
            </w:r>
          </w:p>
        </w:tc>
      </w:tr>
      <w:tr w:rsidR="00E94FFA" w:rsidRPr="003144F2" w:rsidTr="00722687">
        <w:tc>
          <w:tcPr>
            <w:tcW w:w="7051" w:type="dxa"/>
            <w:vAlign w:val="center"/>
          </w:tcPr>
          <w:p w:rsidR="00E94FFA" w:rsidRPr="003144F2" w:rsidRDefault="00F35BF7" w:rsidP="00E94FFA">
            <w:pPr>
              <w:spacing w:line="276" w:lineRule="auto"/>
              <w:ind w:right="-57"/>
              <w:rPr>
                <w:sz w:val="24"/>
                <w:szCs w:val="24"/>
              </w:rPr>
            </w:pPr>
            <w:r>
              <w:rPr>
                <w:sz w:val="24"/>
                <w:szCs w:val="24"/>
              </w:rPr>
              <w:t>1</w:t>
            </w:r>
            <w:r w:rsidR="00E94FFA" w:rsidRPr="003144F2">
              <w:rPr>
                <w:sz w:val="24"/>
                <w:szCs w:val="24"/>
              </w:rPr>
              <w:t>.PIELIKUMS  –  PRETENDENTA  PIETEIKUMA  VEIDLAPA</w:t>
            </w:r>
          </w:p>
        </w:tc>
        <w:tc>
          <w:tcPr>
            <w:tcW w:w="1748" w:type="dxa"/>
            <w:vAlign w:val="center"/>
          </w:tcPr>
          <w:p w:rsidR="00E94FFA" w:rsidRPr="003144F2" w:rsidRDefault="00046E47" w:rsidP="00E94FFA">
            <w:pPr>
              <w:ind w:right="34"/>
              <w:jc w:val="right"/>
              <w:rPr>
                <w:sz w:val="24"/>
                <w:szCs w:val="24"/>
              </w:rPr>
            </w:pPr>
            <w:r>
              <w:rPr>
                <w:sz w:val="24"/>
                <w:szCs w:val="24"/>
              </w:rPr>
              <w:t>17</w:t>
            </w:r>
            <w:r w:rsidR="00E94FFA" w:rsidRPr="003144F2">
              <w:rPr>
                <w:sz w:val="24"/>
                <w:szCs w:val="24"/>
              </w:rPr>
              <w:t>.lpp.</w:t>
            </w:r>
          </w:p>
        </w:tc>
      </w:tr>
      <w:tr w:rsidR="00E94FFA" w:rsidRPr="003144F2" w:rsidTr="00722687">
        <w:tc>
          <w:tcPr>
            <w:tcW w:w="7051" w:type="dxa"/>
            <w:vAlign w:val="center"/>
          </w:tcPr>
          <w:p w:rsidR="00E94FFA" w:rsidRPr="003144F2" w:rsidRDefault="00F35BF7" w:rsidP="00E94FFA">
            <w:pPr>
              <w:spacing w:line="276" w:lineRule="auto"/>
              <w:ind w:right="-57"/>
              <w:rPr>
                <w:sz w:val="24"/>
                <w:szCs w:val="24"/>
              </w:rPr>
            </w:pPr>
            <w:r>
              <w:rPr>
                <w:sz w:val="24"/>
                <w:szCs w:val="24"/>
              </w:rPr>
              <w:t>2</w:t>
            </w:r>
            <w:r w:rsidR="00E94FFA" w:rsidRPr="003144F2">
              <w:rPr>
                <w:sz w:val="24"/>
                <w:szCs w:val="24"/>
              </w:rPr>
              <w:t>.PIELIKUMS  –  IZPILDĪTO  DARBU  SARAKSTA VEIDLAPA</w:t>
            </w:r>
          </w:p>
        </w:tc>
        <w:tc>
          <w:tcPr>
            <w:tcW w:w="1748" w:type="dxa"/>
            <w:vAlign w:val="center"/>
          </w:tcPr>
          <w:p w:rsidR="00E94FFA" w:rsidRPr="003144F2" w:rsidRDefault="00046E47" w:rsidP="00E94FFA">
            <w:pPr>
              <w:ind w:right="34"/>
              <w:jc w:val="right"/>
              <w:rPr>
                <w:sz w:val="24"/>
                <w:szCs w:val="24"/>
                <w:highlight w:val="yellow"/>
              </w:rPr>
            </w:pPr>
            <w:r>
              <w:rPr>
                <w:sz w:val="24"/>
                <w:szCs w:val="24"/>
              </w:rPr>
              <w:t>19</w:t>
            </w:r>
            <w:r w:rsidR="00E94FFA" w:rsidRPr="003144F2">
              <w:rPr>
                <w:sz w:val="24"/>
                <w:szCs w:val="24"/>
              </w:rPr>
              <w:t>.lpp.</w:t>
            </w:r>
          </w:p>
        </w:tc>
      </w:tr>
      <w:tr w:rsidR="00F35BF7" w:rsidRPr="003144F2" w:rsidTr="00722687">
        <w:tc>
          <w:tcPr>
            <w:tcW w:w="7051" w:type="dxa"/>
            <w:vAlign w:val="center"/>
          </w:tcPr>
          <w:p w:rsidR="00F35BF7" w:rsidRPr="00E529F7" w:rsidRDefault="00F35BF7" w:rsidP="00F35BF7">
            <w:pPr>
              <w:spacing w:line="276" w:lineRule="auto"/>
              <w:ind w:right="-57"/>
              <w:rPr>
                <w:sz w:val="24"/>
                <w:szCs w:val="24"/>
              </w:rPr>
            </w:pPr>
            <w:r>
              <w:rPr>
                <w:sz w:val="24"/>
                <w:szCs w:val="24"/>
              </w:rPr>
              <w:t>3</w:t>
            </w:r>
            <w:r w:rsidRPr="00E529F7">
              <w:rPr>
                <w:sz w:val="24"/>
                <w:szCs w:val="24"/>
              </w:rPr>
              <w:t xml:space="preserve">.PIELIKUMS – </w:t>
            </w:r>
            <w:r>
              <w:rPr>
                <w:sz w:val="24"/>
                <w:szCs w:val="24"/>
              </w:rPr>
              <w:t xml:space="preserve">TEHNISKĀ SPECIFIKĀCIJA UN </w:t>
            </w:r>
            <w:r w:rsidRPr="00E529F7">
              <w:rPr>
                <w:sz w:val="24"/>
                <w:szCs w:val="24"/>
              </w:rPr>
              <w:t>TEHNISKĀ PIEDĀVĀJUMA VEIDLAPA</w:t>
            </w:r>
          </w:p>
        </w:tc>
        <w:tc>
          <w:tcPr>
            <w:tcW w:w="1748" w:type="dxa"/>
            <w:vAlign w:val="center"/>
          </w:tcPr>
          <w:p w:rsidR="00F35BF7" w:rsidRPr="00E529F7" w:rsidRDefault="00F35BF7" w:rsidP="00F35BF7">
            <w:pPr>
              <w:ind w:right="34"/>
              <w:jc w:val="right"/>
              <w:rPr>
                <w:sz w:val="24"/>
                <w:szCs w:val="24"/>
              </w:rPr>
            </w:pPr>
            <w:r>
              <w:rPr>
                <w:sz w:val="24"/>
                <w:szCs w:val="24"/>
              </w:rPr>
              <w:t>2</w:t>
            </w:r>
            <w:r w:rsidR="00046E47">
              <w:rPr>
                <w:sz w:val="24"/>
                <w:szCs w:val="24"/>
              </w:rPr>
              <w:t>0</w:t>
            </w:r>
            <w:r w:rsidRPr="00E529F7">
              <w:rPr>
                <w:sz w:val="24"/>
                <w:szCs w:val="24"/>
              </w:rPr>
              <w:t>.lpp.</w:t>
            </w:r>
          </w:p>
        </w:tc>
      </w:tr>
      <w:tr w:rsidR="00F35BF7" w:rsidRPr="003144F2" w:rsidTr="00722687">
        <w:tc>
          <w:tcPr>
            <w:tcW w:w="7051" w:type="dxa"/>
            <w:vAlign w:val="center"/>
          </w:tcPr>
          <w:p w:rsidR="00F35BF7" w:rsidRPr="003144F2" w:rsidRDefault="00F35BF7" w:rsidP="00F35BF7">
            <w:pPr>
              <w:spacing w:line="276" w:lineRule="auto"/>
              <w:ind w:right="-57"/>
              <w:rPr>
                <w:sz w:val="24"/>
                <w:szCs w:val="24"/>
              </w:rPr>
            </w:pPr>
            <w:r>
              <w:rPr>
                <w:sz w:val="24"/>
                <w:szCs w:val="24"/>
              </w:rPr>
              <w:t>4.</w:t>
            </w:r>
            <w:r w:rsidRPr="003144F2">
              <w:rPr>
                <w:sz w:val="24"/>
                <w:szCs w:val="24"/>
              </w:rPr>
              <w:t>PIELIKUMS  –  APAKŠUZŅĒMĒJU  SARAKSTA  UN APAKŠUZŅĒMEJA  APLIECINĀJUMA  VEIDLAPAS</w:t>
            </w:r>
          </w:p>
        </w:tc>
        <w:tc>
          <w:tcPr>
            <w:tcW w:w="1748" w:type="dxa"/>
            <w:vAlign w:val="center"/>
          </w:tcPr>
          <w:p w:rsidR="00F35BF7" w:rsidRPr="003144F2" w:rsidRDefault="00F35BF7" w:rsidP="00F35BF7">
            <w:pPr>
              <w:ind w:right="34"/>
              <w:jc w:val="right"/>
              <w:rPr>
                <w:sz w:val="24"/>
                <w:szCs w:val="24"/>
              </w:rPr>
            </w:pPr>
            <w:r>
              <w:rPr>
                <w:sz w:val="24"/>
                <w:szCs w:val="24"/>
              </w:rPr>
              <w:t>2</w:t>
            </w:r>
            <w:r w:rsidR="00046E47">
              <w:rPr>
                <w:sz w:val="24"/>
                <w:szCs w:val="24"/>
              </w:rPr>
              <w:t>2</w:t>
            </w:r>
            <w:r w:rsidRPr="003144F2">
              <w:rPr>
                <w:sz w:val="24"/>
                <w:szCs w:val="24"/>
              </w:rPr>
              <w:t>.lpp.</w:t>
            </w:r>
          </w:p>
        </w:tc>
      </w:tr>
      <w:tr w:rsidR="00F35BF7" w:rsidRPr="003144F2" w:rsidTr="00722687">
        <w:tc>
          <w:tcPr>
            <w:tcW w:w="7051" w:type="dxa"/>
            <w:vAlign w:val="center"/>
          </w:tcPr>
          <w:p w:rsidR="00F35BF7" w:rsidRPr="003144F2" w:rsidRDefault="00F35BF7" w:rsidP="00F35BF7">
            <w:pPr>
              <w:spacing w:line="276" w:lineRule="auto"/>
              <w:ind w:right="-57"/>
              <w:rPr>
                <w:sz w:val="24"/>
                <w:szCs w:val="24"/>
              </w:rPr>
            </w:pPr>
            <w:r>
              <w:rPr>
                <w:sz w:val="24"/>
                <w:szCs w:val="24"/>
              </w:rPr>
              <w:t>5</w:t>
            </w:r>
            <w:r w:rsidRPr="003144F2">
              <w:rPr>
                <w:sz w:val="24"/>
                <w:szCs w:val="24"/>
              </w:rPr>
              <w:t>.PIELIKUMS –  IEPIRKUMA  LĪGUMA  PROJEKTS</w:t>
            </w:r>
          </w:p>
        </w:tc>
        <w:tc>
          <w:tcPr>
            <w:tcW w:w="1748" w:type="dxa"/>
            <w:vAlign w:val="center"/>
          </w:tcPr>
          <w:p w:rsidR="00F35BF7" w:rsidRPr="003144F2" w:rsidRDefault="00F35BF7" w:rsidP="00F35BF7">
            <w:pPr>
              <w:ind w:right="34"/>
              <w:jc w:val="right"/>
              <w:rPr>
                <w:sz w:val="24"/>
                <w:szCs w:val="24"/>
              </w:rPr>
            </w:pPr>
            <w:r>
              <w:rPr>
                <w:sz w:val="24"/>
                <w:szCs w:val="24"/>
              </w:rPr>
              <w:t>2</w:t>
            </w:r>
            <w:r w:rsidR="00046E47">
              <w:rPr>
                <w:sz w:val="24"/>
                <w:szCs w:val="24"/>
              </w:rPr>
              <w:t>4</w:t>
            </w:r>
            <w:r w:rsidRPr="003144F2">
              <w:rPr>
                <w:sz w:val="24"/>
                <w:szCs w:val="24"/>
              </w:rPr>
              <w:t>.lpp.</w:t>
            </w:r>
          </w:p>
        </w:tc>
      </w:tr>
    </w:tbl>
    <w:p w:rsidR="009B0E89" w:rsidRPr="003144F2" w:rsidRDefault="009B0E89" w:rsidP="006D207A">
      <w:pPr>
        <w:tabs>
          <w:tab w:val="left" w:pos="2325"/>
        </w:tabs>
        <w:rPr>
          <w:sz w:val="24"/>
          <w:szCs w:val="24"/>
        </w:rPr>
      </w:pPr>
    </w:p>
    <w:p w:rsidR="00522927" w:rsidRPr="003144F2" w:rsidRDefault="00522927" w:rsidP="00B45EB4">
      <w:pPr>
        <w:pStyle w:val="Heading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510460">
        <w:rPr>
          <w:szCs w:val="24"/>
        </w:rPr>
        <w:t>1</w:t>
      </w:r>
      <w:bookmarkEnd w:id="3"/>
      <w:r w:rsidR="007E4931">
        <w:rPr>
          <w:szCs w:val="24"/>
        </w:rPr>
        <w:t>63</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F25D4E" w:rsidP="00522927">
            <w:pPr>
              <w:overflowPunct w:val="0"/>
              <w:autoSpaceDE w:val="0"/>
              <w:autoSpaceDN w:val="0"/>
              <w:adjustRightInd w:val="0"/>
              <w:textAlignment w:val="baseline"/>
              <w:rPr>
                <w:sz w:val="24"/>
                <w:szCs w:val="24"/>
              </w:rPr>
            </w:pPr>
            <w:hyperlink r:id="rId8" w:history="1">
              <w:r w:rsidR="00E94FFA" w:rsidRPr="00B20E00">
                <w:rPr>
                  <w:rStyle w:val="Hyperlink"/>
                  <w:sz w:val="24"/>
                  <w:szCs w:val="24"/>
                </w:rPr>
                <w:t>iepirkumi@vbp.lv</w:t>
              </w:r>
            </w:hyperlink>
          </w:p>
        </w:tc>
      </w:tr>
      <w:tr w:rsidR="00CD1E66" w:rsidRPr="003144F2" w:rsidTr="00F97BF1">
        <w:tc>
          <w:tcPr>
            <w:tcW w:w="2835" w:type="dxa"/>
            <w:vAlign w:val="center"/>
          </w:tcPr>
          <w:p w:rsidR="00CD1E66" w:rsidRPr="00286E12" w:rsidRDefault="00CD1E66" w:rsidP="00CD1E66">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CD1E66" w:rsidRPr="009023FA" w:rsidRDefault="00CD1E66" w:rsidP="00CD1E66">
            <w:pPr>
              <w:overflowPunct w:val="0"/>
              <w:autoSpaceDE w:val="0"/>
              <w:autoSpaceDN w:val="0"/>
              <w:adjustRightInd w:val="0"/>
              <w:textAlignment w:val="baseline"/>
              <w:rPr>
                <w:sz w:val="24"/>
                <w:szCs w:val="24"/>
              </w:rPr>
            </w:pPr>
            <w:r w:rsidRPr="009023FA">
              <w:rPr>
                <w:sz w:val="24"/>
                <w:szCs w:val="24"/>
              </w:rPr>
              <w:t xml:space="preserve">Igors Udodovs, tālr. numurs 63602334, e-pasta adrese </w:t>
            </w:r>
            <w:hyperlink r:id="rId9" w:history="1">
              <w:r w:rsidRPr="009023FA">
                <w:rPr>
                  <w:rStyle w:val="Hyperlink"/>
                  <w:sz w:val="24"/>
                </w:rPr>
                <w:t>igors.udodovs@vbp.lv</w:t>
              </w:r>
            </w:hyperlink>
            <w:r w:rsidRPr="009023FA">
              <w:rPr>
                <w:sz w:val="24"/>
                <w:szCs w:val="24"/>
              </w:rPr>
              <w:t xml:space="preserve">, </w:t>
            </w:r>
            <w:hyperlink r:id="rId10" w:history="1">
              <w:r w:rsidRPr="009023FA">
                <w:rPr>
                  <w:rStyle w:val="Hyperlink"/>
                  <w:sz w:val="24"/>
                </w:rPr>
                <w:t>iepirkumi@vbp.lv</w:t>
              </w:r>
            </w:hyperlink>
            <w:r w:rsidRPr="009023FA">
              <w:rPr>
                <w:sz w:val="24"/>
                <w:szCs w:val="24"/>
              </w:rPr>
              <w:t xml:space="preserve"> </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CD1E66" w:rsidRDefault="006F4241" w:rsidP="00CD1E66">
      <w:pPr>
        <w:pStyle w:val="BlockText"/>
        <w:numPr>
          <w:ilvl w:val="1"/>
          <w:numId w:val="2"/>
        </w:numPr>
        <w:spacing w:after="120"/>
        <w:ind w:left="450" w:right="112"/>
        <w:jc w:val="both"/>
        <w:rPr>
          <w:szCs w:val="24"/>
        </w:rPr>
      </w:pPr>
      <w:r w:rsidRPr="006F4241">
        <w:rPr>
          <w:rFonts w:cs="Arial"/>
          <w:szCs w:val="24"/>
          <w:lang w:eastAsia="lv-LV"/>
        </w:rPr>
        <w:t xml:space="preserve">Iepirkuma priekšmets: </w:t>
      </w:r>
      <w:r w:rsidR="00CD1E66" w:rsidRPr="00CD1E66">
        <w:rPr>
          <w:rFonts w:cs="Arial"/>
          <w:szCs w:val="24"/>
          <w:lang w:eastAsia="lv-LV"/>
        </w:rPr>
        <w:t>Pasūtītāja</w:t>
      </w:r>
      <w:r w:rsidR="00CD1E66" w:rsidRPr="00CD1E66">
        <w:rPr>
          <w:rFonts w:cs="Arial"/>
          <w:b/>
          <w:szCs w:val="24"/>
          <w:lang w:eastAsia="lv-LV"/>
        </w:rPr>
        <w:t xml:space="preserve"> </w:t>
      </w:r>
      <w:r w:rsidR="00CD1E66" w:rsidRPr="00CD1E66">
        <w:rPr>
          <w:rFonts w:cs="Arial"/>
          <w:b/>
          <w:szCs w:val="24"/>
          <w:u w:val="single"/>
          <w:lang w:eastAsia="lv-LV"/>
        </w:rPr>
        <w:t>reklāmas materiālu izgatavošana un reklāmas izvietošana</w:t>
      </w:r>
      <w:r w:rsidR="00CD1E66" w:rsidRPr="00CD1E66">
        <w:rPr>
          <w:rFonts w:cs="Arial"/>
          <w:szCs w:val="24"/>
          <w:lang w:eastAsia="lv-LV"/>
        </w:rPr>
        <w:t xml:space="preserve"> </w:t>
      </w:r>
      <w:r w:rsidR="00AA0A3C">
        <w:rPr>
          <w:rFonts w:cs="Arial"/>
          <w:szCs w:val="24"/>
          <w:lang w:eastAsia="lv-LV"/>
        </w:rPr>
        <w:t>futbola</w:t>
      </w:r>
      <w:r w:rsidR="00CD1E66" w:rsidRPr="00CD1E66">
        <w:rPr>
          <w:rFonts w:cs="Arial"/>
          <w:szCs w:val="24"/>
          <w:lang w:eastAsia="lv-LV"/>
        </w:rPr>
        <w:t xml:space="preserve"> spēļu laikā un saistībā ar </w:t>
      </w:r>
      <w:r w:rsidR="00AA0A3C">
        <w:rPr>
          <w:rFonts w:cs="Arial"/>
          <w:szCs w:val="24"/>
          <w:lang w:eastAsia="lv-LV"/>
        </w:rPr>
        <w:t>futbola</w:t>
      </w:r>
      <w:r w:rsidR="00CD1E66" w:rsidRPr="00CD1E66">
        <w:rPr>
          <w:rFonts w:cs="Arial"/>
          <w:szCs w:val="24"/>
          <w:lang w:eastAsia="lv-LV"/>
        </w:rPr>
        <w:t xml:space="preserve"> spēlēm 2019.gadā atbilstoši nolikuma 3.pielikumā iekļautajai </w:t>
      </w:r>
      <w:r w:rsidR="00CD1E66">
        <w:rPr>
          <w:rFonts w:cs="Arial"/>
          <w:szCs w:val="24"/>
          <w:lang w:eastAsia="lv-LV"/>
        </w:rPr>
        <w:t>t</w:t>
      </w:r>
      <w:r w:rsidR="00CD1E66" w:rsidRPr="00CD1E66">
        <w:rPr>
          <w:rFonts w:cs="Arial"/>
          <w:szCs w:val="24"/>
          <w:lang w:eastAsia="lv-LV"/>
        </w:rPr>
        <w:t>ehniskajai specifikācijai</w:t>
      </w:r>
      <w:r w:rsidR="00B81D46">
        <w:rPr>
          <w:szCs w:val="24"/>
        </w:rPr>
        <w:t>.</w:t>
      </w:r>
    </w:p>
    <w:p w:rsidR="00B45EB4" w:rsidRDefault="00CD1E66" w:rsidP="00CD1E66">
      <w:pPr>
        <w:pStyle w:val="BlockText"/>
        <w:numPr>
          <w:ilvl w:val="1"/>
          <w:numId w:val="2"/>
        </w:numPr>
        <w:spacing w:after="120"/>
        <w:ind w:left="450" w:right="112"/>
        <w:jc w:val="both"/>
        <w:rPr>
          <w:szCs w:val="24"/>
        </w:rPr>
      </w:pPr>
      <w:r w:rsidRPr="00CD1E66">
        <w:rPr>
          <w:szCs w:val="24"/>
          <w:lang w:eastAsia="lv-LV"/>
        </w:rPr>
        <w:t>CPV kods –</w:t>
      </w:r>
      <w:r w:rsidRPr="00CD1E66">
        <w:rPr>
          <w:szCs w:val="24"/>
        </w:rPr>
        <w:t>7934</w:t>
      </w:r>
      <w:r w:rsidR="00C84992">
        <w:rPr>
          <w:szCs w:val="24"/>
        </w:rPr>
        <w:t>0</w:t>
      </w:r>
      <w:r w:rsidRPr="00CD1E66">
        <w:rPr>
          <w:szCs w:val="24"/>
        </w:rPr>
        <w:t>000-</w:t>
      </w:r>
      <w:r w:rsidR="00C84992">
        <w:rPr>
          <w:szCs w:val="24"/>
        </w:rPr>
        <w:t>9</w:t>
      </w:r>
      <w:r w:rsidRPr="00CD1E66">
        <w:rPr>
          <w:szCs w:val="24"/>
        </w:rPr>
        <w:t xml:space="preserve"> (</w:t>
      </w:r>
      <w:r w:rsidR="00C84992" w:rsidRPr="00C84992">
        <w:rPr>
          <w:szCs w:val="24"/>
        </w:rPr>
        <w:t xml:space="preserve">Reklāmas un </w:t>
      </w:r>
      <w:proofErr w:type="spellStart"/>
      <w:r w:rsidR="00C84992" w:rsidRPr="00C84992">
        <w:rPr>
          <w:szCs w:val="24"/>
        </w:rPr>
        <w:t>tirgdarbības</w:t>
      </w:r>
      <w:proofErr w:type="spellEnd"/>
      <w:r w:rsidR="00C84992" w:rsidRPr="00C84992">
        <w:rPr>
          <w:szCs w:val="24"/>
        </w:rPr>
        <w:t xml:space="preserve"> pakalpojumi</w:t>
      </w:r>
      <w:r w:rsidRPr="00CD1E66">
        <w:rPr>
          <w:szCs w:val="24"/>
        </w:rPr>
        <w:t>)</w:t>
      </w:r>
      <w:r>
        <w:rPr>
          <w:szCs w:val="24"/>
        </w:rPr>
        <w:t>.</w:t>
      </w:r>
    </w:p>
    <w:p w:rsidR="00B45EB4" w:rsidRPr="00CD1E66" w:rsidRDefault="00CD1E66" w:rsidP="00CD1E66">
      <w:pPr>
        <w:pStyle w:val="BlockText"/>
        <w:numPr>
          <w:ilvl w:val="1"/>
          <w:numId w:val="2"/>
        </w:numPr>
        <w:spacing w:after="120"/>
        <w:ind w:left="450" w:right="112"/>
        <w:jc w:val="both"/>
        <w:rPr>
          <w:szCs w:val="24"/>
        </w:rPr>
      </w:pPr>
      <w:r w:rsidRPr="00CD1E66">
        <w:rPr>
          <w:szCs w:val="24"/>
        </w:rPr>
        <w:t xml:space="preserve">Iepirkuma </w:t>
      </w:r>
      <w:r w:rsidRPr="00CD1E66">
        <w:rPr>
          <w:b/>
          <w:szCs w:val="24"/>
        </w:rPr>
        <w:t xml:space="preserve">mērķis </w:t>
      </w:r>
      <w:r w:rsidRPr="00CD1E66">
        <w:rPr>
          <w:szCs w:val="24"/>
        </w:rPr>
        <w:t xml:space="preserve">ir ar </w:t>
      </w:r>
      <w:r w:rsidR="00AA0A3C">
        <w:rPr>
          <w:szCs w:val="24"/>
        </w:rPr>
        <w:t>futbola</w:t>
      </w:r>
      <w:r w:rsidRPr="00CD1E66">
        <w:rPr>
          <w:szCs w:val="24"/>
        </w:rPr>
        <w:t xml:space="preserve"> kluba palīdzību, īstenojot iepirkumā paredzētās reklāmas aktivitātes 2019.gadā, veicināt Pasūtītāja atpazīstamību, prestižu un publicitāti gan Latvijā, gan starptautiski</w:t>
      </w:r>
      <w:r>
        <w:rPr>
          <w:szCs w:val="24"/>
        </w:rPr>
        <w:t>.</w:t>
      </w:r>
    </w:p>
    <w:p w:rsidR="00F97957" w:rsidRPr="00B2364A" w:rsidRDefault="00CD1E66" w:rsidP="006726BC">
      <w:pPr>
        <w:pStyle w:val="BlockText"/>
        <w:numPr>
          <w:ilvl w:val="1"/>
          <w:numId w:val="2"/>
        </w:numPr>
        <w:spacing w:after="120"/>
        <w:ind w:left="426" w:right="-57"/>
        <w:jc w:val="both"/>
        <w:rPr>
          <w:szCs w:val="24"/>
        </w:rPr>
      </w:pPr>
      <w:r w:rsidRPr="00CD1E66">
        <w:rPr>
          <w:szCs w:val="24"/>
        </w:rPr>
        <w:t xml:space="preserve">Iepirkuma izpildes termiņš: visi iepirkuma priekšmetā minētie darbi jāveic 2019.gadā atbilstoši nolikuma 3.pielikumā pievienotajā </w:t>
      </w:r>
      <w:r>
        <w:rPr>
          <w:szCs w:val="24"/>
        </w:rPr>
        <w:t>t</w:t>
      </w:r>
      <w:r w:rsidRPr="00CD1E66">
        <w:rPr>
          <w:szCs w:val="24"/>
        </w:rPr>
        <w:t>ehniskajā specifikācijā norādītajiem pasākumiem un aktivitātēm</w:t>
      </w:r>
      <w:r>
        <w:rPr>
          <w:szCs w:val="24"/>
        </w:rPr>
        <w:t>.</w:t>
      </w:r>
    </w:p>
    <w:p w:rsidR="00AC6DA9" w:rsidRPr="003144F2" w:rsidRDefault="00AC6DA9" w:rsidP="00AC6DA9">
      <w:pPr>
        <w:pStyle w:val="BlockText"/>
        <w:spacing w:after="120"/>
        <w:ind w:left="426" w:right="-57"/>
        <w:jc w:val="both"/>
        <w:rPr>
          <w:szCs w:val="24"/>
        </w:rPr>
      </w:pPr>
    </w:p>
    <w:p w:rsidR="00DC45A0" w:rsidRPr="00DC45A0" w:rsidRDefault="00CD1E66" w:rsidP="00DC45A0">
      <w:pPr>
        <w:pStyle w:val="BlockText"/>
        <w:numPr>
          <w:ilvl w:val="1"/>
          <w:numId w:val="2"/>
        </w:numPr>
        <w:spacing w:after="120"/>
        <w:ind w:left="426" w:right="-57"/>
        <w:jc w:val="both"/>
        <w:rPr>
          <w:szCs w:val="24"/>
        </w:rPr>
      </w:pPr>
      <w:r w:rsidRPr="00CD1E66">
        <w:rPr>
          <w:szCs w:val="24"/>
          <w:lang w:eastAsia="lv-LV"/>
        </w:rPr>
        <w:lastRenderedPageBreak/>
        <w:t xml:space="preserve">Līguma izpildes vieta ir Latvijas Republika un ārvalstis, atbilstoši nolikuma 3.pielikumā pievienotajā </w:t>
      </w:r>
      <w:r>
        <w:rPr>
          <w:szCs w:val="24"/>
          <w:lang w:eastAsia="lv-LV"/>
        </w:rPr>
        <w:t>t</w:t>
      </w:r>
      <w:r w:rsidRPr="00CD1E66">
        <w:rPr>
          <w:szCs w:val="24"/>
          <w:lang w:eastAsia="lv-LV"/>
        </w:rPr>
        <w:t>ehniskajā specifikācijā norādīto pasākumu un aktivitāšu norises vietai. Līguma izpildes vietu nodrošina pretendents, izmantojot savus resursus</w:t>
      </w:r>
      <w:r w:rsidR="0048653F" w:rsidRPr="006F4241">
        <w:rPr>
          <w:szCs w:val="24"/>
        </w:rPr>
        <w:t>.</w:t>
      </w:r>
    </w:p>
    <w:p w:rsidR="00DC45A0" w:rsidRPr="006F4241" w:rsidRDefault="00DC45A0" w:rsidP="006726BC">
      <w:pPr>
        <w:pStyle w:val="BlockText"/>
        <w:numPr>
          <w:ilvl w:val="1"/>
          <w:numId w:val="2"/>
        </w:numPr>
        <w:spacing w:after="120"/>
        <w:ind w:left="426" w:right="-57"/>
        <w:jc w:val="both"/>
        <w:rPr>
          <w:szCs w:val="24"/>
        </w:rPr>
      </w:pPr>
      <w:r w:rsidRPr="00DC45A0">
        <w:rPr>
          <w:szCs w:val="24"/>
        </w:rPr>
        <w:t xml:space="preserve">Avansa apmērs nedrīkst pārsniegt </w:t>
      </w:r>
      <w:r>
        <w:rPr>
          <w:szCs w:val="24"/>
        </w:rPr>
        <w:t>25</w:t>
      </w:r>
      <w:r w:rsidRPr="00DC45A0">
        <w:rPr>
          <w:szCs w:val="24"/>
        </w:rPr>
        <w:t>% (</w:t>
      </w:r>
      <w:r>
        <w:rPr>
          <w:szCs w:val="24"/>
        </w:rPr>
        <w:t>divdesmit piecus</w:t>
      </w:r>
      <w:r w:rsidRPr="00DC45A0">
        <w:rPr>
          <w:szCs w:val="24"/>
        </w:rPr>
        <w:t xml:space="preserve"> procent</w:t>
      </w:r>
      <w:r>
        <w:rPr>
          <w:szCs w:val="24"/>
        </w:rPr>
        <w:t>us</w:t>
      </w:r>
      <w:r w:rsidRPr="00DC45A0">
        <w:rPr>
          <w:szCs w:val="24"/>
        </w:rPr>
        <w:t>) no piedāvātās līgumcenas.</w:t>
      </w:r>
    </w:p>
    <w:p w:rsidR="000C1843"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8" w:name="_Toc312767044"/>
      <w:bookmarkStart w:id="9" w:name="_Toc496711276"/>
      <w:r w:rsidRPr="003144F2">
        <w:rPr>
          <w:sz w:val="28"/>
          <w:szCs w:val="28"/>
        </w:rPr>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0144B8" w:rsidP="00961505">
      <w:pPr>
        <w:pStyle w:val="BlockText"/>
        <w:numPr>
          <w:ilvl w:val="2"/>
          <w:numId w:val="2"/>
        </w:numPr>
        <w:ind w:left="1134" w:right="-57"/>
        <w:jc w:val="both"/>
        <w:rPr>
          <w:szCs w:val="24"/>
        </w:rPr>
      </w:pPr>
      <w:bookmarkStart w:id="11" w:name="_Hlk503532378"/>
      <w:r w:rsidRPr="003144F2">
        <w:rPr>
          <w:szCs w:val="24"/>
        </w:rPr>
        <w:t>Pretendenta pieteikuma veidlapa (</w:t>
      </w:r>
      <w:r w:rsidR="00F35BF7">
        <w:rPr>
          <w:szCs w:val="24"/>
        </w:rPr>
        <w:t>1</w:t>
      </w:r>
      <w:r w:rsidRPr="003144F2">
        <w:rPr>
          <w:szCs w:val="24"/>
        </w:rPr>
        <w:t>.pielikums);</w:t>
      </w:r>
    </w:p>
    <w:p w:rsidR="000144B8" w:rsidRDefault="000144B8" w:rsidP="00961505">
      <w:pPr>
        <w:pStyle w:val="BlockText"/>
        <w:numPr>
          <w:ilvl w:val="2"/>
          <w:numId w:val="2"/>
        </w:numPr>
        <w:ind w:left="1134" w:right="-57"/>
        <w:jc w:val="both"/>
        <w:rPr>
          <w:szCs w:val="24"/>
        </w:rPr>
      </w:pPr>
      <w:r w:rsidRPr="003144F2">
        <w:rPr>
          <w:szCs w:val="24"/>
        </w:rPr>
        <w:t>Izpildīto darbu saraksta veidlapa (</w:t>
      </w:r>
      <w:r w:rsidR="0012733C">
        <w:rPr>
          <w:szCs w:val="24"/>
        </w:rPr>
        <w:t>2</w:t>
      </w:r>
      <w:r w:rsidRPr="003144F2">
        <w:rPr>
          <w:szCs w:val="24"/>
        </w:rPr>
        <w:t>.pielikums);</w:t>
      </w:r>
    </w:p>
    <w:p w:rsidR="0012733C" w:rsidRPr="003144F2" w:rsidRDefault="0012733C" w:rsidP="00961505">
      <w:pPr>
        <w:pStyle w:val="BlockText"/>
        <w:numPr>
          <w:ilvl w:val="2"/>
          <w:numId w:val="2"/>
        </w:numPr>
        <w:ind w:left="1134" w:right="-57"/>
        <w:jc w:val="both"/>
        <w:rPr>
          <w:szCs w:val="24"/>
        </w:rPr>
      </w:pPr>
      <w:r w:rsidRPr="0012733C">
        <w:rPr>
          <w:szCs w:val="24"/>
        </w:rPr>
        <w:t>Tehniskā specifikācija un tehnisk</w:t>
      </w:r>
      <w:r>
        <w:rPr>
          <w:szCs w:val="24"/>
        </w:rPr>
        <w:t>ā</w:t>
      </w:r>
      <w:r w:rsidRPr="0012733C">
        <w:rPr>
          <w:szCs w:val="24"/>
        </w:rPr>
        <w:t xml:space="preserve"> piedāvājum</w:t>
      </w:r>
      <w:r>
        <w:rPr>
          <w:szCs w:val="24"/>
        </w:rPr>
        <w:t>a veidlapa</w:t>
      </w:r>
      <w:r w:rsidRPr="0012733C">
        <w:rPr>
          <w:szCs w:val="24"/>
        </w:rPr>
        <w:t xml:space="preserve"> (3.pielikums</w:t>
      </w:r>
      <w:r>
        <w:rPr>
          <w:szCs w:val="24"/>
        </w:rPr>
        <w:t>);</w:t>
      </w:r>
    </w:p>
    <w:p w:rsidR="000144B8" w:rsidRPr="00F67F1C" w:rsidRDefault="00344DE6" w:rsidP="00F67F1C">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F67F1C">
        <w:rPr>
          <w:szCs w:val="24"/>
        </w:rPr>
        <w:t>4</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F67F1C">
        <w:rPr>
          <w:szCs w:val="24"/>
        </w:rPr>
        <w:t>5</w:t>
      </w:r>
      <w:r w:rsidRPr="003144F2">
        <w:rPr>
          <w:szCs w:val="24"/>
        </w:rPr>
        <w:t>.pielikums)</w:t>
      </w:r>
      <w:r w:rsidR="0012733C">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bookmarkStart w:id="12" w:name="_Ref378149578"/>
      <w:bookmarkEnd w:id="11"/>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E62EAC">
        <w:rPr>
          <w:color w:val="000000"/>
          <w:sz w:val="24"/>
          <w:szCs w:val="24"/>
        </w:rPr>
        <w:t>10</w:t>
      </w:r>
      <w:r w:rsidR="009E3BCB">
        <w:rPr>
          <w:color w:val="000000"/>
          <w:sz w:val="24"/>
          <w:szCs w:val="24"/>
        </w:rPr>
        <w:t>.decembra</w:t>
      </w:r>
      <w:r w:rsidR="004752A7">
        <w:rPr>
          <w:color w:val="000000"/>
          <w:sz w:val="24"/>
          <w:szCs w:val="24"/>
        </w:rPr>
        <w:t xml:space="preserve"> </w:t>
      </w:r>
      <w:r w:rsidRPr="003144F2">
        <w:rPr>
          <w:color w:val="000000"/>
          <w:sz w:val="24"/>
          <w:szCs w:val="24"/>
        </w:rPr>
        <w:t>plkst.1</w:t>
      </w:r>
      <w:r w:rsidR="00AA0A3C">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lastRenderedPageBreak/>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12733C">
        <w:rPr>
          <w:color w:val="000000"/>
          <w:szCs w:val="24"/>
        </w:rPr>
        <w:t>3</w:t>
      </w:r>
      <w:r w:rsidR="00616614" w:rsidRPr="000637C9">
        <w:rPr>
          <w:color w:val="000000"/>
          <w:szCs w:val="24"/>
        </w:rPr>
        <w:t> </w:t>
      </w:r>
      <w:r w:rsidR="00767E13" w:rsidRPr="000637C9">
        <w:rPr>
          <w:color w:val="000000"/>
          <w:szCs w:val="24"/>
        </w:rPr>
        <w:t>0</w:t>
      </w:r>
      <w:r w:rsidR="00616614" w:rsidRPr="000637C9">
        <w:rPr>
          <w:color w:val="000000"/>
          <w:szCs w:val="24"/>
        </w:rPr>
        <w:t>00 EUR (</w:t>
      </w:r>
      <w:r w:rsidR="0012733C">
        <w:rPr>
          <w:color w:val="000000"/>
          <w:szCs w:val="24"/>
        </w:rPr>
        <w:t>trīs</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w:t>
      </w:r>
      <w:proofErr w:type="spellStart"/>
      <w:r w:rsidR="00616614" w:rsidRPr="000637C9">
        <w:rPr>
          <w:color w:val="000000"/>
          <w:szCs w:val="24"/>
        </w:rPr>
        <w:t>euro</w:t>
      </w:r>
      <w:proofErr w:type="spellEnd"/>
      <w:r w:rsidR="00616614" w:rsidRPr="000637C9">
        <w:rPr>
          <w:color w:val="000000"/>
          <w:szCs w:val="24"/>
        </w:rPr>
        <w:t>)</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510460">
        <w:rPr>
          <w:color w:val="000000"/>
          <w:szCs w:val="24"/>
        </w:rPr>
        <w:t>1</w:t>
      </w:r>
      <w:r w:rsidR="00AA0A3C">
        <w:rPr>
          <w:color w:val="000000"/>
          <w:szCs w:val="24"/>
        </w:rPr>
        <w:t>63</w:t>
      </w:r>
      <w:r w:rsidRPr="00F84830">
        <w:rPr>
          <w:color w:val="000000"/>
          <w:szCs w:val="24"/>
        </w:rPr>
        <w:t xml:space="preserve">”.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737D48">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lastRenderedPageBreak/>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F67F1C" w:rsidRDefault="00522927" w:rsidP="00F67F1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lastRenderedPageBreak/>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lastRenderedPageBreak/>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737D48">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737D48">
        <w:t>5</w:t>
      </w:r>
      <w:r w:rsidRPr="003144F2">
        <w:fldChar w:fldCharType="end"/>
      </w:r>
      <w:r w:rsidRPr="003144F2">
        <w:t>.punkta apakšpunktos noteiktajiem dalības nosacījumiem iepirkuma procedūrā.</w:t>
      </w:r>
    </w:p>
    <w:p w:rsidR="000C1843" w:rsidRPr="003144F2" w:rsidRDefault="00251EEF"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1" w:name="_Toc312767047"/>
      <w:bookmarkStart w:id="32" w:name="_Toc496711280"/>
      <w:r w:rsidRPr="003144F2">
        <w:rPr>
          <w:sz w:val="28"/>
          <w:szCs w:val="28"/>
        </w:rPr>
        <w:lastRenderedPageBreak/>
        <w:t>KVALIFIKĀCIJAS PRASĪBAS</w:t>
      </w:r>
      <w:bookmarkEnd w:id="31"/>
      <w:bookmarkEnd w:id="32"/>
    </w:p>
    <w:p w:rsidR="00CF7106" w:rsidRPr="003144F2" w:rsidRDefault="006C2E9B" w:rsidP="006726BC">
      <w:pPr>
        <w:pStyle w:val="BlockText"/>
        <w:numPr>
          <w:ilvl w:val="1"/>
          <w:numId w:val="2"/>
        </w:numPr>
        <w:spacing w:after="120"/>
        <w:ind w:left="426" w:right="-57"/>
        <w:jc w:val="both"/>
        <w:rPr>
          <w:sz w:val="28"/>
          <w:szCs w:val="28"/>
        </w:rPr>
      </w:pPr>
      <w:r w:rsidRPr="006C2E9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0476BE" w:rsidRPr="003144F2" w:rsidRDefault="0012733C" w:rsidP="006726BC">
      <w:pPr>
        <w:pStyle w:val="BlockText"/>
        <w:numPr>
          <w:ilvl w:val="1"/>
          <w:numId w:val="2"/>
        </w:numPr>
        <w:spacing w:after="120"/>
        <w:ind w:left="426" w:right="-57"/>
        <w:jc w:val="both"/>
        <w:rPr>
          <w:szCs w:val="24"/>
        </w:rPr>
      </w:pPr>
      <w:bookmarkStart w:id="33" w:name="_Ref480905834"/>
      <w:r w:rsidRPr="0012733C">
        <w:rPr>
          <w:szCs w:val="24"/>
        </w:rPr>
        <w:t xml:space="preserve">Pretendentam ir iespējams izvietot </w:t>
      </w:r>
      <w:r>
        <w:rPr>
          <w:szCs w:val="24"/>
        </w:rPr>
        <w:t>šī n</w:t>
      </w:r>
      <w:r w:rsidRPr="0012733C">
        <w:rPr>
          <w:szCs w:val="24"/>
        </w:rPr>
        <w:t xml:space="preserve">olikuma 3.pielikumā pievienotajā </w:t>
      </w:r>
      <w:r>
        <w:rPr>
          <w:szCs w:val="24"/>
        </w:rPr>
        <w:t>t</w:t>
      </w:r>
      <w:r w:rsidRPr="0012733C">
        <w:rPr>
          <w:szCs w:val="24"/>
        </w:rPr>
        <w:t xml:space="preserve">ehniskajā specifikācijā un tehniskajā piedāvājumā norādīto reklāmu atbilstoši pretendenta piedāvājumam, ko apliecina spēkā esoša vienošanās ar </w:t>
      </w:r>
      <w:r w:rsidR="00AA0A3C">
        <w:rPr>
          <w:szCs w:val="24"/>
        </w:rPr>
        <w:t>futbola</w:t>
      </w:r>
      <w:r w:rsidRPr="0012733C">
        <w:rPr>
          <w:szCs w:val="24"/>
        </w:rPr>
        <w:t xml:space="preserve"> klubu vai Pretendents pats gadījumā, ja Pretendents ir </w:t>
      </w:r>
      <w:r w:rsidR="00AA0A3C">
        <w:rPr>
          <w:szCs w:val="24"/>
        </w:rPr>
        <w:t>futbols</w:t>
      </w:r>
      <w:r w:rsidRPr="0012733C">
        <w:rPr>
          <w:szCs w:val="24"/>
        </w:rPr>
        <w:t xml:space="preserve"> klubs</w:t>
      </w:r>
      <w:r w:rsidR="004804AA" w:rsidRPr="003144F2">
        <w:rPr>
          <w:szCs w:val="24"/>
        </w:rPr>
        <w:t>.</w:t>
      </w:r>
      <w:r w:rsidR="007A675F" w:rsidRPr="003144F2">
        <w:rPr>
          <w:szCs w:val="24"/>
        </w:rPr>
        <w:t xml:space="preserve"> </w:t>
      </w:r>
    </w:p>
    <w:p w:rsidR="001E5324" w:rsidRDefault="0012733C" w:rsidP="0012733C">
      <w:pPr>
        <w:pStyle w:val="BlockText"/>
        <w:numPr>
          <w:ilvl w:val="1"/>
          <w:numId w:val="2"/>
        </w:numPr>
        <w:spacing w:after="120"/>
        <w:ind w:left="426" w:right="-57"/>
        <w:jc w:val="both"/>
        <w:rPr>
          <w:color w:val="000000"/>
          <w:szCs w:val="24"/>
        </w:rPr>
      </w:pPr>
      <w:bookmarkStart w:id="34" w:name="_Ref384822141"/>
      <w:bookmarkEnd w:id="33"/>
      <w:r w:rsidRPr="0012733C">
        <w:rPr>
          <w:szCs w:val="24"/>
        </w:rPr>
        <w:t xml:space="preserve">Pretendentam ir iespējams vismaz 75% no mājas spēlēm organizēt Ventspilī, kurās tas var nodrošināt šī nolikuma 3.pielikuma </w:t>
      </w:r>
      <w:r>
        <w:rPr>
          <w:szCs w:val="24"/>
        </w:rPr>
        <w:t>t</w:t>
      </w:r>
      <w:r w:rsidRPr="0012733C">
        <w:rPr>
          <w:szCs w:val="24"/>
        </w:rPr>
        <w:t xml:space="preserve">ehniskajā specifikācijā minētos pakalpojumus, ko apliecina spēkā esoša rakstiska vienošanās ar </w:t>
      </w:r>
      <w:r w:rsidR="00AA0A3C">
        <w:rPr>
          <w:szCs w:val="24"/>
        </w:rPr>
        <w:t>stadiona</w:t>
      </w:r>
      <w:r w:rsidRPr="0012733C">
        <w:rPr>
          <w:szCs w:val="24"/>
        </w:rPr>
        <w:t xml:space="preserve"> </w:t>
      </w:r>
      <w:proofErr w:type="spellStart"/>
      <w:r w:rsidRPr="0012733C">
        <w:rPr>
          <w:szCs w:val="24"/>
        </w:rPr>
        <w:t>apsaimniekotāju</w:t>
      </w:r>
      <w:proofErr w:type="spellEnd"/>
      <w:r w:rsidRPr="0012733C">
        <w:rPr>
          <w:szCs w:val="24"/>
        </w:rPr>
        <w:t xml:space="preserve"> par iespējamību īstenot </w:t>
      </w:r>
      <w:r>
        <w:rPr>
          <w:szCs w:val="24"/>
        </w:rPr>
        <w:t>n</w:t>
      </w:r>
      <w:r w:rsidRPr="0012733C">
        <w:rPr>
          <w:szCs w:val="24"/>
        </w:rPr>
        <w:t xml:space="preserve">olikuma 3.pielikumā pievienotajā </w:t>
      </w:r>
      <w:r>
        <w:rPr>
          <w:szCs w:val="24"/>
        </w:rPr>
        <w:t>t</w:t>
      </w:r>
      <w:r w:rsidRPr="0012733C">
        <w:rPr>
          <w:szCs w:val="24"/>
        </w:rPr>
        <w:t>ehniskajā specifikācijā norādītos reklāmas pasākumus, t.sk. mājas spēles, atbilstoši pretendenta piedāvājumam</w:t>
      </w:r>
      <w:bookmarkStart w:id="35" w:name="_Ref312784355"/>
      <w:bookmarkEnd w:id="34"/>
      <w:r>
        <w:rPr>
          <w:color w:val="000000"/>
          <w:szCs w:val="24"/>
        </w:rPr>
        <w:t>.</w:t>
      </w:r>
    </w:p>
    <w:p w:rsidR="0012733C" w:rsidRDefault="0012733C" w:rsidP="0012733C">
      <w:pPr>
        <w:pStyle w:val="BlockText"/>
        <w:numPr>
          <w:ilvl w:val="1"/>
          <w:numId w:val="2"/>
        </w:numPr>
        <w:spacing w:after="120"/>
        <w:ind w:left="426" w:right="-57"/>
        <w:jc w:val="both"/>
        <w:rPr>
          <w:color w:val="000000"/>
          <w:szCs w:val="24"/>
        </w:rPr>
      </w:pPr>
      <w:r w:rsidRPr="0012733C">
        <w:rPr>
          <w:color w:val="000000"/>
          <w:szCs w:val="24"/>
        </w:rPr>
        <w:t>Uz piedāvājuma iesniegšanas brīdi pretendentam vai, ja piedāvājumu dalībai iesniedz personu grupa, - vismaz vienam personu grupas biedram jāatbilst šādiem kvalifikācijas pamatnosacījumiem, kas apliecina šādu pieredzi un profesionālās spējas</w:t>
      </w:r>
      <w:r>
        <w:rPr>
          <w:color w:val="000000"/>
          <w:szCs w:val="24"/>
        </w:rPr>
        <w:t>:</w:t>
      </w:r>
    </w:p>
    <w:p w:rsidR="0012733C" w:rsidRDefault="00827809" w:rsidP="0012733C">
      <w:pPr>
        <w:pStyle w:val="BlockText"/>
        <w:numPr>
          <w:ilvl w:val="2"/>
          <w:numId w:val="2"/>
        </w:numPr>
        <w:spacing w:after="120"/>
        <w:ind w:left="1117" w:right="0"/>
        <w:jc w:val="both"/>
        <w:rPr>
          <w:color w:val="000000"/>
          <w:szCs w:val="24"/>
        </w:rPr>
      </w:pPr>
      <w:r w:rsidRPr="00827809">
        <w:rPr>
          <w:color w:val="000000"/>
          <w:szCs w:val="24"/>
        </w:rPr>
        <w:t>pieredze iepirkuma priekšmetam saturiski līdzīgā reklāmas aktivitāšu (reklāmas plānošanā, reklāmas materiālu izstrāde un izvietošana, reklāmas pirkšana un izvietošana medijos, t.sk. interneta medijos u.tml. sporta pasākumos ar analoģiski plašu reklāmas veidu un formu kompleksu pielietošanu) īstenošanas projektā pēdējo 3 (trīs) gadu laikā, ko apliecina pasūtītāja atsauksme</w:t>
      </w:r>
      <w:r>
        <w:rPr>
          <w:color w:val="000000"/>
          <w:szCs w:val="24"/>
        </w:rPr>
        <w:t>;</w:t>
      </w:r>
    </w:p>
    <w:p w:rsidR="00827809" w:rsidRPr="0012733C" w:rsidRDefault="00827809" w:rsidP="0012733C">
      <w:pPr>
        <w:pStyle w:val="BlockText"/>
        <w:numPr>
          <w:ilvl w:val="2"/>
          <w:numId w:val="2"/>
        </w:numPr>
        <w:spacing w:after="120"/>
        <w:ind w:left="1117" w:right="0"/>
        <w:jc w:val="both"/>
        <w:rPr>
          <w:color w:val="000000"/>
          <w:szCs w:val="24"/>
        </w:rPr>
      </w:pPr>
      <w:bookmarkStart w:id="36" w:name="_Ref497918744"/>
      <w:r w:rsidRPr="00827809">
        <w:rPr>
          <w:color w:val="000000"/>
          <w:szCs w:val="24"/>
        </w:rPr>
        <w:t xml:space="preserve">pieredzes apliecinājums </w:t>
      </w:r>
      <w:r>
        <w:rPr>
          <w:color w:val="000000"/>
          <w:szCs w:val="24"/>
        </w:rPr>
        <w:t>7.2.</w:t>
      </w:r>
      <w:r w:rsidRPr="00827809">
        <w:rPr>
          <w:color w:val="000000"/>
          <w:szCs w:val="24"/>
        </w:rPr>
        <w:t xml:space="preserve">punktā minētajam </w:t>
      </w:r>
      <w:r w:rsidR="00AA0A3C">
        <w:rPr>
          <w:color w:val="000000"/>
          <w:szCs w:val="24"/>
        </w:rPr>
        <w:t>futbola</w:t>
      </w:r>
      <w:r w:rsidRPr="00827809">
        <w:rPr>
          <w:color w:val="000000"/>
          <w:szCs w:val="24"/>
        </w:rPr>
        <w:t xml:space="preserve"> klubam, </w:t>
      </w:r>
      <w:bookmarkEnd w:id="36"/>
      <w:r w:rsidRPr="00827809">
        <w:rPr>
          <w:color w:val="000000"/>
          <w:szCs w:val="24"/>
        </w:rPr>
        <w:t xml:space="preserve">kurš vismaz pēdējos 3 (trīs) gadus pēc kārtas ir startējis </w:t>
      </w:r>
      <w:r w:rsidR="00AA0A3C" w:rsidRPr="00AA0A3C">
        <w:rPr>
          <w:color w:val="000000"/>
          <w:szCs w:val="24"/>
        </w:rPr>
        <w:t>UEFA Čempionu līgas vai UEFA Eiropas līgas spēlēs, uzskaitot spēļu norises vietu un laiku</w:t>
      </w:r>
      <w:r>
        <w:rPr>
          <w:color w:val="000000"/>
          <w:szCs w:val="24"/>
        </w:rPr>
        <w:t>.</w:t>
      </w:r>
    </w:p>
    <w:bookmarkEnd w:id="35"/>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37"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37"/>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C1843" w:rsidRPr="00827809" w:rsidRDefault="00322E9C" w:rsidP="00827809">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w:t>
      </w:r>
      <w:r w:rsidR="00097B4E" w:rsidRPr="003144F2">
        <w:rPr>
          <w:szCs w:val="24"/>
        </w:rPr>
        <w:lastRenderedPageBreak/>
        <w:t>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bookmarkStart w:id="38" w:name="_Toc312767049"/>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9" w:name="_Toc496711282"/>
      <w:r w:rsidRPr="003144F2">
        <w:rPr>
          <w:sz w:val="28"/>
          <w:szCs w:val="28"/>
        </w:rPr>
        <w:t>IESNIEDZAMIE DOKUMENTI</w:t>
      </w:r>
      <w:bookmarkEnd w:id="38"/>
      <w:bookmarkEnd w:id="39"/>
      <w:r w:rsidRPr="003144F2">
        <w:rPr>
          <w:sz w:val="28"/>
          <w:szCs w:val="28"/>
        </w:rPr>
        <w:t xml:space="preserve"> </w:t>
      </w:r>
      <w:bookmarkStart w:id="40" w:name="_Ref312784564"/>
    </w:p>
    <w:p w:rsidR="00522927" w:rsidRPr="003144F2" w:rsidRDefault="00522927" w:rsidP="006726BC">
      <w:pPr>
        <w:pStyle w:val="BlockText"/>
        <w:numPr>
          <w:ilvl w:val="1"/>
          <w:numId w:val="2"/>
        </w:numPr>
        <w:spacing w:after="120"/>
        <w:ind w:left="426" w:right="-57"/>
        <w:jc w:val="both"/>
        <w:rPr>
          <w:sz w:val="28"/>
          <w:szCs w:val="28"/>
        </w:rPr>
      </w:pPr>
      <w:bookmarkStart w:id="41"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0"/>
      <w:bookmarkEnd w:id="41"/>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2" w:name="_Izziņa,_ko_ne_agrāk_kā_sešus_mēnešu"/>
      <w:bookmarkEnd w:id="42"/>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D06F37">
        <w:rPr>
          <w:szCs w:val="24"/>
        </w:rPr>
        <w:t>1</w:t>
      </w:r>
      <w:r w:rsidR="00F33F9E" w:rsidRPr="003144F2">
        <w:rPr>
          <w:szCs w:val="24"/>
        </w:rPr>
        <w:t>.pielikuma</w:t>
      </w:r>
      <w:r w:rsidR="00E47C2F" w:rsidRPr="003144F2">
        <w:rPr>
          <w:szCs w:val="24"/>
        </w:rPr>
        <w:t xml:space="preserve">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3" w:name="_Toc312767050"/>
      <w:bookmarkStart w:id="44" w:name="_Toc496711283"/>
      <w:r w:rsidRPr="003144F2">
        <w:rPr>
          <w:sz w:val="28"/>
          <w:szCs w:val="28"/>
        </w:rPr>
        <w:t>PRETENDENTU ATLASES DOKUMENTI</w:t>
      </w:r>
      <w:bookmarkEnd w:id="43"/>
      <w:bookmarkEnd w:id="44"/>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737D48">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D06F37" w:rsidP="006726BC">
      <w:pPr>
        <w:pStyle w:val="BlockText"/>
        <w:numPr>
          <w:ilvl w:val="2"/>
          <w:numId w:val="2"/>
        </w:numPr>
        <w:spacing w:after="120"/>
        <w:ind w:left="1134" w:right="-57"/>
        <w:jc w:val="both"/>
        <w:rPr>
          <w:b/>
          <w:color w:val="000000"/>
          <w:szCs w:val="24"/>
        </w:rPr>
      </w:pPr>
      <w:r w:rsidRPr="00D06F37">
        <w:rPr>
          <w:szCs w:val="24"/>
        </w:rPr>
        <w:t xml:space="preserve">apliecinājums, ka Pretendentam ir spēkā esoša vienošanās ar </w:t>
      </w:r>
      <w:r w:rsidR="00AA0A3C">
        <w:rPr>
          <w:szCs w:val="24"/>
        </w:rPr>
        <w:t>futbola</w:t>
      </w:r>
      <w:r w:rsidRPr="00D06F37">
        <w:rPr>
          <w:szCs w:val="24"/>
        </w:rPr>
        <w:t xml:space="preserve"> klubu, saskaņā ar kuru Pretendentam ir iespējams izvietot </w:t>
      </w:r>
      <w:r>
        <w:rPr>
          <w:szCs w:val="24"/>
        </w:rPr>
        <w:t>n</w:t>
      </w:r>
      <w:r w:rsidRPr="00D06F37">
        <w:rPr>
          <w:szCs w:val="24"/>
        </w:rPr>
        <w:t xml:space="preserve">olikuma 3.pielikumā pievienotajā </w:t>
      </w:r>
      <w:r>
        <w:rPr>
          <w:szCs w:val="24"/>
        </w:rPr>
        <w:t>t</w:t>
      </w:r>
      <w:r w:rsidRPr="00D06F37">
        <w:rPr>
          <w:szCs w:val="24"/>
        </w:rPr>
        <w:t xml:space="preserve">ehniskajā specifikācijā un tehniskajā piedāvājumā norādīto reklāmu atbilstoši pretendenta piedāvājumam. Ja Pretendenta pats ir </w:t>
      </w:r>
      <w:r w:rsidR="00AA0A3C">
        <w:rPr>
          <w:szCs w:val="24"/>
        </w:rPr>
        <w:t>futbola</w:t>
      </w:r>
      <w:r w:rsidRPr="00D06F37">
        <w:rPr>
          <w:szCs w:val="24"/>
        </w:rPr>
        <w:t xml:space="preserve"> klubs, tad rakstisks apliecinājums par iespējamību izvietot </w:t>
      </w:r>
      <w:r>
        <w:rPr>
          <w:szCs w:val="24"/>
        </w:rPr>
        <w:t>n</w:t>
      </w:r>
      <w:r w:rsidRPr="00D06F37">
        <w:rPr>
          <w:szCs w:val="24"/>
        </w:rPr>
        <w:t xml:space="preserve">olikuma 3.pielikumā pievienotajā </w:t>
      </w:r>
      <w:r>
        <w:rPr>
          <w:szCs w:val="24"/>
        </w:rPr>
        <w:t>t</w:t>
      </w:r>
      <w:r w:rsidRPr="00D06F37">
        <w:rPr>
          <w:szCs w:val="24"/>
        </w:rPr>
        <w:t>ehniskajā specifikācijā un tehniskajā piedāvājumā norādīto reklāmu atbilstoši pretendenta piedāvājumam</w:t>
      </w:r>
      <w:r w:rsidR="00092E77" w:rsidRPr="000637C9">
        <w:t>.</w:t>
      </w:r>
    </w:p>
    <w:p w:rsidR="00F923FB" w:rsidRPr="0012731E" w:rsidRDefault="00D06F37" w:rsidP="00D84F5E">
      <w:pPr>
        <w:pStyle w:val="BlockText"/>
        <w:numPr>
          <w:ilvl w:val="2"/>
          <w:numId w:val="2"/>
        </w:numPr>
        <w:spacing w:after="120"/>
        <w:ind w:left="1134" w:right="-57"/>
        <w:jc w:val="both"/>
        <w:rPr>
          <w:b/>
        </w:rPr>
      </w:pPr>
      <w:r w:rsidRPr="00D06F37">
        <w:lastRenderedPageBreak/>
        <w:t xml:space="preserve">apliecinājums, ka vismaz 75% no mājas spēlēm tiks organizētas Ventspilī, kurās tam ir iespējas nodrošināt šī nolikuma 3.pielikuma </w:t>
      </w:r>
      <w:r>
        <w:t>t</w:t>
      </w:r>
      <w:r w:rsidRPr="00D06F37">
        <w:t xml:space="preserve">ehniskajā specifikācijā minētos pakalpojumus, ko apliecina spēkā esoša rakstiska vienošanos ar </w:t>
      </w:r>
      <w:r w:rsidR="00AA0A3C">
        <w:t>stadiona</w:t>
      </w:r>
      <w:r w:rsidRPr="00D06F37">
        <w:t xml:space="preserve"> </w:t>
      </w:r>
      <w:proofErr w:type="spellStart"/>
      <w:r w:rsidRPr="00D06F37">
        <w:t>apsaimniekotāju</w:t>
      </w:r>
      <w:proofErr w:type="spellEnd"/>
      <w:r w:rsidRPr="00D06F37">
        <w:t xml:space="preserve"> par iespējamību īstenot </w:t>
      </w:r>
      <w:r>
        <w:t>n</w:t>
      </w:r>
      <w:r w:rsidRPr="00D06F37">
        <w:t xml:space="preserve">olikuma 3.pielikumā pievienotajā </w:t>
      </w:r>
      <w:r>
        <w:t>t</w:t>
      </w:r>
      <w:r w:rsidRPr="00D06F37">
        <w:t>ehniskajā specifikācijā norādītos reklāmas pasākumus, t.sk. mājas spēles, atbilstoši pretendenta piedāvājumam</w:t>
      </w:r>
      <w:r w:rsidR="00A36BAD" w:rsidRPr="003144F2">
        <w:t>.</w:t>
      </w:r>
    </w:p>
    <w:p w:rsidR="0012731E" w:rsidRDefault="0012731E" w:rsidP="00D84F5E">
      <w:pPr>
        <w:pStyle w:val="BlockText"/>
        <w:numPr>
          <w:ilvl w:val="2"/>
          <w:numId w:val="2"/>
        </w:numPr>
        <w:spacing w:after="120"/>
        <w:ind w:left="1134" w:right="-57"/>
        <w:jc w:val="both"/>
      </w:pPr>
      <w:r w:rsidRPr="0012731E">
        <w:t>saraksts saskaņā ar šī nolikuma 2.pielikumu par pēdējo 3 (trīs) gadu laikā (2015. - 2018.gads) veiktiem iepirkumam pēc rakstura un apjoma līdzīgiem darbiem.</w:t>
      </w:r>
    </w:p>
    <w:p w:rsidR="0012731E" w:rsidRPr="0012731E" w:rsidRDefault="0012731E" w:rsidP="0012731E">
      <w:pPr>
        <w:pStyle w:val="BlockText"/>
        <w:spacing w:after="120"/>
        <w:ind w:left="1134" w:right="-57"/>
        <w:jc w:val="both"/>
      </w:pPr>
      <w:r w:rsidRPr="0012731E">
        <w:t>Darbu sarakstam jāpievieno sekojoši dokumenti:</w:t>
      </w:r>
    </w:p>
    <w:p w:rsidR="0012731E" w:rsidRPr="0012731E" w:rsidRDefault="0012731E" w:rsidP="0012731E">
      <w:pPr>
        <w:pStyle w:val="BlockText"/>
        <w:numPr>
          <w:ilvl w:val="3"/>
          <w:numId w:val="2"/>
        </w:numPr>
        <w:spacing w:after="120"/>
        <w:ind w:left="1854" w:right="-57"/>
        <w:jc w:val="both"/>
      </w:pPr>
      <w:r w:rsidRPr="0012731E">
        <w:t xml:space="preserve">atsauksme/-s no pasūtītāja un apraksts par vismaz 1 (vienu) kvalitatīvi veiktu un laikā izpildītu iepirkuma priekšmetam līdzīgu pakalpojumu (reklāma </w:t>
      </w:r>
      <w:r w:rsidR="00AA0A3C">
        <w:t>futbola</w:t>
      </w:r>
      <w:r w:rsidRPr="0012731E">
        <w:t xml:space="preserve"> spēļu laikā), kas apliecina šī nolikuma </w:t>
      </w:r>
      <w:r>
        <w:t>7.4.1.</w:t>
      </w:r>
      <w:r w:rsidRPr="0012731E">
        <w:t>punktā minēto pieredzi;</w:t>
      </w:r>
    </w:p>
    <w:p w:rsidR="0012731E" w:rsidRDefault="0012731E" w:rsidP="0012731E">
      <w:pPr>
        <w:pStyle w:val="BlockText"/>
        <w:numPr>
          <w:ilvl w:val="3"/>
          <w:numId w:val="2"/>
        </w:numPr>
        <w:spacing w:after="120"/>
        <w:ind w:left="1854" w:right="-57"/>
        <w:jc w:val="both"/>
      </w:pPr>
      <w:r w:rsidRPr="0012731E">
        <w:t xml:space="preserve">apliecinājums, ka </w:t>
      </w:r>
      <w:r w:rsidR="00AA0A3C">
        <w:t>futbola</w:t>
      </w:r>
      <w:r w:rsidRPr="0012731E">
        <w:t xml:space="preserve"> klubam, kura spēļu laikā tiks veikti iepirkuma priekšmetā paredzētie pakalpojumi, ir šī nolikuma 7.4.2.punktā minētā pieredze, uzskaitot </w:t>
      </w:r>
      <w:r w:rsidR="00AA0A3C">
        <w:t>futbol</w:t>
      </w:r>
      <w:r w:rsidRPr="0012731E">
        <w:t>a spēles, to norises vietu un laiku.</w:t>
      </w:r>
    </w:p>
    <w:p w:rsidR="0012731E" w:rsidRPr="0012731E" w:rsidRDefault="0012731E" w:rsidP="0012731E">
      <w:pPr>
        <w:pStyle w:val="BlockText"/>
        <w:spacing w:after="120"/>
        <w:ind w:left="1134" w:right="-57"/>
        <w:jc w:val="both"/>
      </w:pPr>
      <w:r w:rsidRPr="0012731E">
        <w:t>Pasūtītājam ir tiesības pieprasīt no Pretendenta kvalifikāciju (t.sk. izpildīto darbu) apstiprinošus dokumentus, kas apliecina sniegto ziņu patiesumu</w:t>
      </w:r>
      <w:r>
        <w:t>.</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w:t>
      </w:r>
      <w:r w:rsidR="0012731E">
        <w:rPr>
          <w:szCs w:val="24"/>
        </w:rPr>
        <w:t>d</w:t>
      </w:r>
      <w:r w:rsidR="00FD50C0" w:rsidRPr="003144F2">
        <w:rPr>
          <w:szCs w:val="24"/>
        </w:rPr>
        <w:t>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vai apliecinājums, ka starp personu apvienības biedriem tiks noslēgts sabiedrības līgums saskaņā ar Civillikuma ceturtās daļas “Saistību tiesības” sešpadsmito nodaļu “Sabiedrības 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 xml:space="preserve">saskaņā ar šī nolikuma </w:t>
      </w:r>
      <w:r w:rsidR="00B46360">
        <w:t>4</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10460" w:rsidRPr="0065188C" w:rsidRDefault="00510460" w:rsidP="0065188C">
      <w:pPr>
        <w:pStyle w:val="BlockText"/>
        <w:numPr>
          <w:ilvl w:val="2"/>
          <w:numId w:val="2"/>
        </w:numPr>
        <w:spacing w:after="120"/>
        <w:ind w:left="1134" w:right="-57"/>
        <w:jc w:val="both"/>
      </w:pPr>
      <w:r w:rsidRPr="0065188C">
        <w:rPr>
          <w:szCs w:val="24"/>
        </w:rPr>
        <w:t xml:space="preserve">apstiprinājums, ka iepirkuma līguma slēgšanas gadījumā apvienības dalībnieki, uz kuru saimnieciskajām un finansiālajām iespējām balstās un kuri būs </w:t>
      </w:r>
      <w:r w:rsidRPr="0065188C">
        <w:rPr>
          <w:szCs w:val="24"/>
        </w:rPr>
        <w:lastRenderedPageBreak/>
        <w:t>finansiāli atbildīgi par iepirkuma līguma izpildi, par iepirkuma līgumā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5" w:name="_Toc312767051"/>
      <w:bookmarkStart w:id="46" w:name="_Toc496711284"/>
      <w:r w:rsidRPr="003144F2">
        <w:rPr>
          <w:sz w:val="28"/>
          <w:szCs w:val="28"/>
        </w:rPr>
        <w:t>TEHNISKAIS PIEDĀVĀJUMS</w:t>
      </w:r>
      <w:bookmarkEnd w:id="45"/>
      <w:bookmarkEnd w:id="46"/>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D84F5E" w:rsidRPr="00D84F5E" w:rsidRDefault="00AE693C" w:rsidP="006726BC">
      <w:pPr>
        <w:pStyle w:val="BlockText"/>
        <w:numPr>
          <w:ilvl w:val="2"/>
          <w:numId w:val="2"/>
        </w:numPr>
        <w:spacing w:after="120"/>
        <w:ind w:left="1134" w:right="-57"/>
        <w:jc w:val="both"/>
        <w:rPr>
          <w:szCs w:val="24"/>
        </w:rPr>
      </w:pPr>
      <w:r>
        <w:rPr>
          <w:szCs w:val="24"/>
          <w:lang w:eastAsia="lv-LV"/>
        </w:rPr>
        <w:t>a</w:t>
      </w:r>
      <w:r w:rsidRPr="00AE693C">
        <w:rPr>
          <w:szCs w:val="24"/>
          <w:lang w:eastAsia="lv-LV"/>
        </w:rPr>
        <w:t xml:space="preserve">izpildīta veidlapa </w:t>
      </w:r>
      <w:r>
        <w:rPr>
          <w:szCs w:val="24"/>
          <w:lang w:eastAsia="lv-LV"/>
        </w:rPr>
        <w:t>s</w:t>
      </w:r>
      <w:r w:rsidRPr="00AE693C">
        <w:rPr>
          <w:szCs w:val="24"/>
          <w:lang w:eastAsia="lv-LV"/>
        </w:rPr>
        <w:t xml:space="preserve">askaņā ar </w:t>
      </w:r>
      <w:r>
        <w:rPr>
          <w:szCs w:val="24"/>
          <w:lang w:eastAsia="lv-LV"/>
        </w:rPr>
        <w:t>n</w:t>
      </w:r>
      <w:r w:rsidRPr="00AE693C">
        <w:rPr>
          <w:szCs w:val="24"/>
          <w:lang w:eastAsia="lv-LV"/>
        </w:rPr>
        <w:t xml:space="preserve">olikuma 3.pielikuma </w:t>
      </w:r>
      <w:r>
        <w:rPr>
          <w:szCs w:val="24"/>
          <w:lang w:eastAsia="lv-LV"/>
        </w:rPr>
        <w:t>“</w:t>
      </w:r>
      <w:r w:rsidRPr="00AE693C">
        <w:rPr>
          <w:szCs w:val="24"/>
          <w:lang w:eastAsia="lv-LV"/>
        </w:rPr>
        <w:t>Tehniskā specifikācija un tehniskais piedāvājums</w:t>
      </w:r>
      <w:r>
        <w:rPr>
          <w:szCs w:val="24"/>
          <w:lang w:eastAsia="lv-LV"/>
        </w:rPr>
        <w:t>” prasībām;</w:t>
      </w:r>
    </w:p>
    <w:p w:rsidR="00583870" w:rsidRPr="00AE693C" w:rsidRDefault="00AE693C" w:rsidP="006726BC">
      <w:pPr>
        <w:pStyle w:val="BlockText"/>
        <w:numPr>
          <w:ilvl w:val="2"/>
          <w:numId w:val="2"/>
        </w:numPr>
        <w:spacing w:after="120"/>
        <w:ind w:left="1134" w:right="-57"/>
        <w:jc w:val="both"/>
        <w:rPr>
          <w:b/>
        </w:rPr>
      </w:pPr>
      <w:r>
        <w:rPr>
          <w:szCs w:val="24"/>
        </w:rPr>
        <w:t>v</w:t>
      </w:r>
      <w:r w:rsidRPr="00AE693C">
        <w:rPr>
          <w:szCs w:val="24"/>
        </w:rPr>
        <w:t xml:space="preserve">ienošanās kopijas saskaņā ar Nolikuma </w:t>
      </w:r>
      <w:r>
        <w:rPr>
          <w:szCs w:val="24"/>
        </w:rPr>
        <w:t xml:space="preserve">7.2. </w:t>
      </w:r>
      <w:r w:rsidRPr="00AE693C">
        <w:rPr>
          <w:szCs w:val="24"/>
        </w:rPr>
        <w:t xml:space="preserve">un </w:t>
      </w:r>
      <w:r>
        <w:rPr>
          <w:szCs w:val="24"/>
        </w:rPr>
        <w:t>7.3.</w:t>
      </w:r>
      <w:r w:rsidRPr="00AE693C">
        <w:rPr>
          <w:szCs w:val="24"/>
        </w:rPr>
        <w:t xml:space="preserve">punktu prasībām. Nolikuma </w:t>
      </w:r>
      <w:r>
        <w:rPr>
          <w:szCs w:val="24"/>
        </w:rPr>
        <w:t>7.2.</w:t>
      </w:r>
      <w:r w:rsidRPr="00AE693C">
        <w:rPr>
          <w:szCs w:val="24"/>
        </w:rPr>
        <w:t xml:space="preserve">punktā noteikto vienošanos neiesniedz, ja Pretendents ir </w:t>
      </w:r>
      <w:r w:rsidR="00AA0A3C">
        <w:rPr>
          <w:szCs w:val="24"/>
        </w:rPr>
        <w:t>futbola</w:t>
      </w:r>
      <w:r w:rsidRPr="00AE693C">
        <w:rPr>
          <w:szCs w:val="24"/>
        </w:rPr>
        <w:t xml:space="preserve"> klubs</w:t>
      </w:r>
      <w:r w:rsidR="00583870" w:rsidRPr="00AE693C">
        <w:t>;</w:t>
      </w:r>
    </w:p>
    <w:p w:rsidR="005B4B1C" w:rsidRPr="00AE693C" w:rsidRDefault="0012731E" w:rsidP="006726BC">
      <w:pPr>
        <w:pStyle w:val="BlockText"/>
        <w:numPr>
          <w:ilvl w:val="2"/>
          <w:numId w:val="2"/>
        </w:numPr>
        <w:spacing w:after="120"/>
        <w:ind w:left="1134" w:right="-57"/>
        <w:jc w:val="both"/>
        <w:rPr>
          <w:szCs w:val="24"/>
        </w:rPr>
      </w:pPr>
      <w:r w:rsidRPr="00AE693C">
        <w:t>apliecinājums, ka Pretendenta rīcībā ir vai ir pieejami pietiekami tehniskie un darbaspēka resursi, lai nodrošinātu šajā iepirkumā paredzēto darbu izpildi pieprasītajā apjomā, kvalitātē un termiņā</w:t>
      </w:r>
      <w:r w:rsidR="000018DB" w:rsidRPr="00AE693C">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7" w:name="_Toc312767052"/>
      <w:bookmarkStart w:id="48" w:name="_Toc496711285"/>
      <w:r w:rsidRPr="003144F2">
        <w:rPr>
          <w:sz w:val="28"/>
          <w:szCs w:val="28"/>
        </w:rPr>
        <w:t>FINANŠU PIEDĀVĀJUMS</w:t>
      </w:r>
      <w:bookmarkEnd w:id="47"/>
      <w:bookmarkEnd w:id="48"/>
    </w:p>
    <w:p w:rsidR="00522927" w:rsidRPr="00C82D2A" w:rsidRDefault="00C82D2A" w:rsidP="006726BC">
      <w:pPr>
        <w:pStyle w:val="BlockText"/>
        <w:numPr>
          <w:ilvl w:val="1"/>
          <w:numId w:val="2"/>
        </w:numPr>
        <w:spacing w:after="120"/>
        <w:ind w:left="426" w:right="-57"/>
        <w:jc w:val="both"/>
        <w:rPr>
          <w:b/>
          <w:sz w:val="28"/>
          <w:szCs w:val="28"/>
        </w:rPr>
      </w:pPr>
      <w:r w:rsidRPr="00C82D2A">
        <w:rPr>
          <w:szCs w:val="24"/>
        </w:rPr>
        <w:t>Finanšu piedāvājumā jāiekļauj dokumenti, atbilstoši EIS e-konkursu apakšsistēmā šī konkursa sadaļā publicētajām veidlapām un sekojoša informācija</w:t>
      </w:r>
      <w:r>
        <w:t>:</w:t>
      </w:r>
    </w:p>
    <w:p w:rsidR="00C82D2A" w:rsidRPr="00C82D2A" w:rsidRDefault="00C82D2A" w:rsidP="00C82D2A">
      <w:pPr>
        <w:pStyle w:val="BlockText"/>
        <w:numPr>
          <w:ilvl w:val="2"/>
          <w:numId w:val="2"/>
        </w:numPr>
        <w:spacing w:after="120"/>
        <w:ind w:left="1117" w:right="0"/>
        <w:jc w:val="both"/>
        <w:rPr>
          <w:szCs w:val="24"/>
        </w:rPr>
      </w:pPr>
      <w:r w:rsidRPr="00C82D2A">
        <w:rPr>
          <w:szCs w:val="24"/>
        </w:rPr>
        <w:t>Pretendenta pieteikums (šī nolikuma 1.pielikums);</w:t>
      </w:r>
    </w:p>
    <w:p w:rsidR="00C82D2A" w:rsidRPr="00C82D2A" w:rsidRDefault="00C82D2A" w:rsidP="00C82D2A">
      <w:pPr>
        <w:pStyle w:val="BlockText"/>
        <w:numPr>
          <w:ilvl w:val="2"/>
          <w:numId w:val="2"/>
        </w:numPr>
        <w:spacing w:after="120"/>
        <w:ind w:left="1117" w:right="0"/>
        <w:jc w:val="both"/>
        <w:rPr>
          <w:szCs w:val="24"/>
        </w:rPr>
      </w:pPr>
      <w:r w:rsidRPr="00C82D2A">
        <w:rPr>
          <w:szCs w:val="24"/>
        </w:rPr>
        <w:t>informācija par avansa apmēru (ja tāds tiks paredzēts).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49" w:name="_Toc312767053"/>
      <w:bookmarkStart w:id="50" w:name="_Toc496711286"/>
      <w:r w:rsidRPr="003144F2">
        <w:rPr>
          <w:sz w:val="28"/>
          <w:szCs w:val="28"/>
        </w:rPr>
        <w:t>PIEDĀVĀJUMU IESNIEGŠANA UN ATVĒRŠANA</w:t>
      </w:r>
      <w:bookmarkEnd w:id="49"/>
      <w:bookmarkEnd w:id="50"/>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E62EAC">
        <w:t>10</w:t>
      </w:r>
      <w:r w:rsidR="009E3BCB">
        <w:t>.decembra</w:t>
      </w:r>
      <w:r w:rsidR="004752A7">
        <w:t xml:space="preserve"> </w:t>
      </w:r>
      <w:r w:rsidRPr="003144F2">
        <w:t>plkst. 1</w:t>
      </w:r>
      <w:r w:rsidR="00AA0A3C">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 xml:space="preserve">elektroniski aizpildāmos dokumentus, sagatavojot ārpus EIS e-konkursu apakšsistēmas un augšupielādējot sistēmas attiecīgajās vietnēs aizpildītas PDF </w:t>
      </w:r>
      <w:r w:rsidRPr="003144F2">
        <w:lastRenderedPageBreak/>
        <w:t>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E62EAC">
        <w:t>10</w:t>
      </w:r>
      <w:r w:rsidR="009E3BCB">
        <w:t>.decembra</w:t>
      </w:r>
      <w:r w:rsidR="00F76279" w:rsidRPr="003144F2">
        <w:t xml:space="preserve"> plkst. 1</w:t>
      </w:r>
      <w:r w:rsidR="00AA0A3C">
        <w:t>6</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D46D43" w:rsidRDefault="007212ED" w:rsidP="00D46D43">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E62EAC">
        <w:rPr>
          <w:sz w:val="24"/>
          <w:szCs w:val="24"/>
          <w:lang w:eastAsia="en-US"/>
        </w:rPr>
        <w:t>10</w:t>
      </w:r>
      <w:r w:rsidR="009E3BCB">
        <w:rPr>
          <w:sz w:val="24"/>
          <w:szCs w:val="24"/>
          <w:lang w:eastAsia="en-US"/>
        </w:rPr>
        <w:t>.decembrī</w:t>
      </w:r>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AA0A3C">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D46D43" w:rsidRDefault="00006413" w:rsidP="00D46D43">
      <w:pPr>
        <w:numPr>
          <w:ilvl w:val="1"/>
          <w:numId w:val="2"/>
        </w:numPr>
        <w:spacing w:after="120"/>
        <w:ind w:left="720" w:hanging="720"/>
        <w:contextualSpacing/>
        <w:jc w:val="both"/>
        <w:rPr>
          <w:rFonts w:eastAsia="Calibri"/>
          <w:sz w:val="24"/>
          <w:szCs w:val="24"/>
          <w:lang w:eastAsia="en-US"/>
        </w:rPr>
      </w:pPr>
      <w:r w:rsidRPr="00D46D43">
        <w:rPr>
          <w:sz w:val="24"/>
          <w:szCs w:val="24"/>
        </w:rPr>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1" w:name="_Toc312767054"/>
      <w:bookmarkStart w:id="52" w:name="_Toc496711287"/>
      <w:r w:rsidRPr="003144F2">
        <w:rPr>
          <w:sz w:val="28"/>
          <w:szCs w:val="28"/>
        </w:rPr>
        <w:lastRenderedPageBreak/>
        <w:t>PIEDĀVĀJUMA SAGATAVOŠANA UN NOFORMĒŠANA</w:t>
      </w:r>
      <w:bookmarkEnd w:id="51"/>
      <w:bookmarkEnd w:id="52"/>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w:t>
      </w:r>
      <w:r w:rsidR="00510460" w:rsidRPr="003144F2">
        <w:rPr>
          <w:color w:val="000000"/>
        </w:rPr>
        <w:t>201</w:t>
      </w:r>
      <w:r w:rsidR="00510460">
        <w:rPr>
          <w:color w:val="000000"/>
        </w:rPr>
        <w:t>8</w:t>
      </w:r>
      <w:r w:rsidR="00510460" w:rsidRPr="003144F2">
        <w:rPr>
          <w:color w:val="000000"/>
        </w:rPr>
        <w:t xml:space="preserve">.gada </w:t>
      </w:r>
      <w:r w:rsidR="00510460">
        <w:rPr>
          <w:color w:val="000000"/>
        </w:rPr>
        <w:t>4</w:t>
      </w:r>
      <w:r w:rsidR="00510460" w:rsidRPr="003144F2">
        <w:rPr>
          <w:color w:val="000000"/>
        </w:rPr>
        <w:t>.septembra noteikumu Nr.</w:t>
      </w:r>
      <w:r w:rsidR="00510460">
        <w:rPr>
          <w:color w:val="000000"/>
        </w:rPr>
        <w:t>558</w:t>
      </w:r>
      <w:r w:rsidRPr="003144F2">
        <w:rPr>
          <w:color w:val="000000"/>
        </w:rPr>
        <w:t xml:space="preserve">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lastRenderedPageBreak/>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3" w:name="_Toc312767055"/>
      <w:bookmarkStart w:id="54" w:name="_Toc496711288"/>
      <w:r w:rsidRPr="003144F2">
        <w:rPr>
          <w:sz w:val="28"/>
          <w:szCs w:val="28"/>
        </w:rPr>
        <w:t>PRETENDENTU ATLASE,</w:t>
      </w:r>
      <w:bookmarkEnd w:id="53"/>
      <w:r w:rsidRPr="003144F2">
        <w:rPr>
          <w:sz w:val="28"/>
          <w:szCs w:val="28"/>
        </w:rPr>
        <w:t xml:space="preserve"> </w:t>
      </w:r>
      <w:bookmarkStart w:id="55" w:name="_Toc312767056"/>
      <w:r w:rsidRPr="003144F2">
        <w:rPr>
          <w:sz w:val="28"/>
          <w:szCs w:val="28"/>
        </w:rPr>
        <w:t>PIEDĀVĀJUMU ATBILSTĪBAS PĀRBAUDE UN IZVĒLE</w:t>
      </w:r>
      <w:bookmarkEnd w:id="54"/>
      <w:bookmarkEnd w:id="55"/>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w:t>
      </w:r>
      <w:bookmarkStart w:id="56" w:name="_GoBack"/>
      <w:bookmarkEnd w:id="56"/>
      <w:r w:rsidRPr="003144F2">
        <w:rPr>
          <w:color w:val="000000"/>
        </w:rPr>
        <w:t>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Default="00A7088A" w:rsidP="00FC37A2">
      <w:pPr>
        <w:pStyle w:val="BlockText"/>
        <w:numPr>
          <w:ilvl w:val="1"/>
          <w:numId w:val="2"/>
        </w:numPr>
        <w:spacing w:after="120"/>
        <w:ind w:left="426" w:right="-57"/>
        <w:jc w:val="both"/>
        <w:rPr>
          <w:color w:val="000000"/>
        </w:rPr>
      </w:pPr>
      <w:r w:rsidRPr="00A7088A">
        <w:rPr>
          <w:color w:val="000000"/>
        </w:rPr>
        <w:t>Piedāvājuma izvērtēšanas kritērijs ir saimnieciski visizdevīgākais piedāvājums - viszemākā cena</w:t>
      </w:r>
      <w:r w:rsidRPr="00A7088A">
        <w:rPr>
          <w:color w:val="000000"/>
          <w:vertAlign w:val="superscript"/>
        </w:rPr>
        <w:footnoteReference w:id="2"/>
      </w:r>
      <w:r w:rsidR="00DE3E6D">
        <w:rPr>
          <w:color w:val="000000"/>
        </w:rPr>
        <w:t>.</w:t>
      </w:r>
    </w:p>
    <w:p w:rsidR="00782F60" w:rsidRPr="003144F2" w:rsidRDefault="002C2220" w:rsidP="00FC37A2">
      <w:pPr>
        <w:pStyle w:val="BlockText"/>
        <w:numPr>
          <w:ilvl w:val="1"/>
          <w:numId w:val="2"/>
        </w:numPr>
        <w:spacing w:after="120"/>
        <w:ind w:left="426" w:right="-57"/>
        <w:jc w:val="both"/>
        <w:rPr>
          <w:color w:val="000000"/>
        </w:rPr>
      </w:pPr>
      <w:r w:rsidRPr="002C2220">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w:t>
      </w:r>
      <w:r w:rsidR="00A7088A">
        <w:rPr>
          <w:color w:val="000000"/>
        </w:rPr>
        <w:t xml:space="preserve"> –</w:t>
      </w:r>
      <w:r w:rsidRPr="002C2220">
        <w:rPr>
          <w:color w:val="000000"/>
        </w:rPr>
        <w:t xml:space="preserve"> zemāko cenu, vai pārtraukt iepirkuma procedūru, neizvēloties nevienu piedāvājumu</w:t>
      </w:r>
      <w:r w:rsidR="00782F60" w:rsidRPr="003144F2">
        <w:rPr>
          <w:color w:val="000000"/>
        </w:rPr>
        <w:t>.</w:t>
      </w:r>
    </w:p>
    <w:p w:rsidR="00522927" w:rsidRPr="003144F2" w:rsidRDefault="002C2220" w:rsidP="00782F60">
      <w:pPr>
        <w:pStyle w:val="BlockText"/>
        <w:spacing w:after="120"/>
        <w:ind w:left="426" w:right="-57"/>
        <w:jc w:val="both"/>
        <w:rPr>
          <w:color w:val="000000"/>
        </w:rPr>
      </w:pPr>
      <w:r w:rsidRPr="002C2220">
        <w:rPr>
          <w:color w:val="000000"/>
        </w:rPr>
        <w:t xml:space="preserve">Ja pieņemts lēmums iepirkuma līguma slēgšanas tiesības piešķirt nākamajam pretendentam, kurš piedāvājis saimnieciski visizdevīgāko piedāvājumu, bet tas atsakās </w:t>
      </w:r>
      <w:r w:rsidRPr="002C2220">
        <w:rPr>
          <w:color w:val="000000"/>
        </w:rPr>
        <w:lastRenderedPageBreak/>
        <w:t>slēgt iepirkuma līgumu, iepirkuma komisija pieņem lēmumu pārtraukt iepirkuma procedūru, neizvēloties nevienu piedāvājumu</w:t>
      </w:r>
      <w:r w:rsidR="00782F60" w:rsidRPr="003144F2">
        <w:rPr>
          <w:color w:val="000000"/>
        </w:rPr>
        <w:t>.</w:t>
      </w:r>
    </w:p>
    <w:p w:rsidR="00AB7D60" w:rsidRPr="00A04DA3" w:rsidRDefault="00AB7D60" w:rsidP="006C063E">
      <w:pPr>
        <w:pStyle w:val="ListParagraph"/>
        <w:numPr>
          <w:ilvl w:val="1"/>
          <w:numId w:val="2"/>
        </w:numPr>
        <w:spacing w:after="120"/>
        <w:ind w:left="426" w:hanging="426"/>
        <w:jc w:val="both"/>
        <w:rPr>
          <w:b/>
          <w:sz w:val="24"/>
          <w:szCs w:val="24"/>
        </w:rPr>
      </w:pPr>
      <w:r w:rsidRPr="00A04DA3">
        <w:rPr>
          <w:sz w:val="24"/>
          <w:szCs w:val="24"/>
        </w:rPr>
        <w:t xml:space="preserve">Pasūtītājs attiecībā uz </w:t>
      </w:r>
      <w:r w:rsidRPr="00A04DA3">
        <w:rPr>
          <w:b/>
          <w:bCs/>
          <w:i/>
          <w:iCs/>
          <w:sz w:val="24"/>
          <w:szCs w:val="24"/>
        </w:rPr>
        <w:t xml:space="preserve">pretendentu, kuram būtu piešķiramas līguma slēgšanas tiesības, pārbauda, vai attiecībā uz šo pretendentu, tā valdes vai padomes locekli, </w:t>
      </w:r>
      <w:proofErr w:type="spellStart"/>
      <w:r w:rsidRPr="00A04DA3">
        <w:rPr>
          <w:b/>
          <w:bCs/>
          <w:i/>
          <w:iCs/>
          <w:sz w:val="24"/>
          <w:szCs w:val="24"/>
        </w:rPr>
        <w:t>pārstāvēttiesīgo</w:t>
      </w:r>
      <w:proofErr w:type="spellEnd"/>
      <w:r w:rsidRPr="00A04DA3">
        <w:rPr>
          <w:b/>
          <w:bCs/>
          <w:i/>
          <w:iCs/>
          <w:sz w:val="24"/>
          <w:szCs w:val="24"/>
        </w:rPr>
        <w:t xml:space="preserve"> personu vai prokūristu vai personu, kura ir pilnvarota pārstāvēt kandidātu vai pretendentu darbībās, kas saistītas ar filiāli, vai personālsabiedrības biedru, ja kandidāts vai pretendents ir personālsabiedrība,</w:t>
      </w:r>
      <w:r w:rsidRPr="00A04DA3">
        <w:rPr>
          <w:sz w:val="24"/>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AB7D60" w:rsidRPr="00A04DA3" w:rsidRDefault="00AB7D60" w:rsidP="00AB7D60">
      <w:pPr>
        <w:pStyle w:val="BlockText"/>
        <w:spacing w:after="120"/>
        <w:ind w:left="426" w:right="-57"/>
        <w:jc w:val="both"/>
        <w:rPr>
          <w:szCs w:val="24"/>
        </w:rPr>
      </w:pPr>
      <w:r w:rsidRPr="00A04DA3">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A04DA3">
        <w:rPr>
          <w:szCs w:val="24"/>
          <w:u w:val="single"/>
        </w:rPr>
        <w:t>tas ir izslēdzams no dalības līguma slēgšanas tiesību piešķiršanas procedūrā</w:t>
      </w:r>
      <w:r w:rsidRPr="00A04DA3">
        <w:rPr>
          <w:szCs w:val="24"/>
        </w:rPr>
        <w:t>.</w:t>
      </w:r>
    </w:p>
    <w:p w:rsidR="00AB7D60" w:rsidRPr="00A04DA3" w:rsidRDefault="00AB7D60" w:rsidP="00AB7D60">
      <w:pPr>
        <w:pStyle w:val="BlockText"/>
        <w:spacing w:after="120"/>
        <w:ind w:left="426" w:right="-57"/>
        <w:jc w:val="both"/>
        <w:rPr>
          <w:szCs w:val="24"/>
        </w:rPr>
      </w:pPr>
      <w:r w:rsidRPr="00A04DA3">
        <w:rPr>
          <w:szCs w:val="24"/>
        </w:rPr>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AB7D60" w:rsidRPr="00A04DA3" w:rsidRDefault="00AB7D60" w:rsidP="002451BC">
      <w:pPr>
        <w:pStyle w:val="BlockText"/>
        <w:spacing w:after="120"/>
        <w:ind w:left="426" w:right="-57"/>
        <w:jc w:val="both"/>
        <w:rPr>
          <w:color w:val="000000"/>
          <w:szCs w:val="24"/>
        </w:rPr>
      </w:pPr>
      <w:r w:rsidRPr="00A04DA3">
        <w:rPr>
          <w:color w:val="000000"/>
          <w:szCs w:val="24"/>
        </w:rPr>
        <w:t xml:space="preserve">Pasūtītājs izslēgšanas nosacījumu esamība pārbaudīs Ārlietu ministrijas mājaslapā </w:t>
      </w:r>
      <w:hyperlink r:id="rId18" w:history="1">
        <w:r w:rsidR="002451BC" w:rsidRPr="009A2B91">
          <w:rPr>
            <w:rStyle w:val="Hyperlink"/>
            <w:szCs w:val="24"/>
          </w:rPr>
          <w:t>http://sankcijas.kd.gov.lv/</w:t>
        </w:r>
      </w:hyperlink>
      <w:r w:rsidR="002451BC">
        <w:rPr>
          <w:color w:val="000000"/>
          <w:szCs w:val="24"/>
        </w:rPr>
        <w:t xml:space="preserve"> norādītajās </w:t>
      </w:r>
      <w:r w:rsidRPr="00A04DA3">
        <w:rPr>
          <w:color w:val="000000"/>
          <w:szCs w:val="24"/>
        </w:rPr>
        <w:t>vietnēs</w:t>
      </w:r>
      <w:r w:rsidR="002451BC">
        <w:rPr>
          <w:color w:val="000000"/>
          <w:szCs w:val="24"/>
        </w:rPr>
        <w:t>.</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7" w:name="_Toc312767057"/>
      <w:bookmarkStart w:id="58" w:name="_Toc496711289"/>
      <w:r w:rsidRPr="003144F2">
        <w:rPr>
          <w:sz w:val="28"/>
          <w:szCs w:val="28"/>
        </w:rPr>
        <w:t>IEPIRKUMA LĪGUMA SLĒGŠANA</w:t>
      </w:r>
      <w:bookmarkEnd w:id="57"/>
      <w:bookmarkEnd w:id="58"/>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w:t>
      </w:r>
      <w:r w:rsidR="002C2220" w:rsidRPr="002C2220">
        <w:rPr>
          <w:sz w:val="20"/>
          <w:szCs w:val="24"/>
          <w:lang w:eastAsia="lv-LV"/>
        </w:rPr>
        <w:t xml:space="preserve"> </w:t>
      </w:r>
      <w:r w:rsidR="002C2220" w:rsidRPr="002C2220">
        <w:rPr>
          <w:szCs w:val="24"/>
        </w:rPr>
        <w:t xml:space="preserve">Pēc rīkojuma par atklāta konkursa rezultātu apstiprināšanu, Pasūtītājs </w:t>
      </w:r>
      <w:r w:rsidR="002C2220" w:rsidRPr="002C2220">
        <w:rPr>
          <w:szCs w:val="24"/>
          <w:u w:val="single"/>
        </w:rPr>
        <w:t xml:space="preserve">slēdz līgumu par reklāmas aktivitāšu īstenošanu 2019.gadā </w:t>
      </w:r>
      <w:r w:rsidR="00AA0A3C">
        <w:rPr>
          <w:szCs w:val="24"/>
          <w:u w:val="single"/>
        </w:rPr>
        <w:t>futbola</w:t>
      </w:r>
      <w:r w:rsidR="002C2220" w:rsidRPr="002C2220">
        <w:rPr>
          <w:szCs w:val="24"/>
          <w:u w:val="single"/>
        </w:rPr>
        <w:t xml:space="preserve"> spēļu laikā </w:t>
      </w:r>
      <w:r w:rsidR="002C2220" w:rsidRPr="002C2220">
        <w:rPr>
          <w:szCs w:val="24"/>
        </w:rPr>
        <w:t xml:space="preserve">(turpmāk – Iepirkuma līgums) ar izraudzīto pretendentu, atbilstoši šī </w:t>
      </w:r>
      <w:r w:rsidR="002C2220">
        <w:rPr>
          <w:szCs w:val="24"/>
        </w:rPr>
        <w:t>n</w:t>
      </w:r>
      <w:r w:rsidR="002C2220" w:rsidRPr="002C2220">
        <w:rPr>
          <w:szCs w:val="24"/>
        </w:rPr>
        <w:t xml:space="preserve">olikuma un tā pielikumu noteikumiem. Par pamatu līguma sagatavošanai un noslēgšanai tiks izmantots iepirkuma līguma projekts (saskaņā ar šī </w:t>
      </w:r>
      <w:r w:rsidR="002C2220">
        <w:rPr>
          <w:szCs w:val="24"/>
        </w:rPr>
        <w:t>n</w:t>
      </w:r>
      <w:r w:rsidR="002C2220" w:rsidRPr="002C2220">
        <w:rPr>
          <w:szCs w:val="24"/>
        </w:rPr>
        <w:t xml:space="preserve">olikuma </w:t>
      </w:r>
      <w:r w:rsidR="00E507FB">
        <w:rPr>
          <w:szCs w:val="24"/>
        </w:rPr>
        <w:t>5</w:t>
      </w:r>
      <w:r w:rsidR="002C2220" w:rsidRPr="002C2220">
        <w:rPr>
          <w:szCs w:val="24"/>
        </w:rPr>
        <w:t>.pielikumu)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155667" w:rsidRPr="008015DC" w:rsidRDefault="008A7BAE" w:rsidP="008015DC">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bookmarkEnd w:id="19"/>
    </w:p>
    <w:sectPr w:rsidR="00155667" w:rsidRPr="008015DC" w:rsidSect="00BF3ED5">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56" w:rsidRDefault="00EF5F56" w:rsidP="002303CF">
      <w:r>
        <w:separator/>
      </w:r>
    </w:p>
  </w:endnote>
  <w:endnote w:type="continuationSeparator" w:id="0">
    <w:p w:rsidR="00EF5F56" w:rsidRDefault="00EF5F5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F5F56" w:rsidRDefault="00EF5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rsidR="00EF5F56" w:rsidRPr="005935C9" w:rsidRDefault="00EF5F56">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22</w:t>
        </w:r>
        <w:r w:rsidRPr="005935C9">
          <w:rPr>
            <w:noProof/>
            <w:sz w:val="24"/>
            <w:szCs w:val="24"/>
          </w:rPr>
          <w:fldChar w:fldCharType="end"/>
        </w:r>
      </w:p>
    </w:sdtContent>
  </w:sdt>
  <w:p w:rsidR="00EF5F56" w:rsidRPr="00C1547C" w:rsidRDefault="00EF5F5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56" w:rsidRDefault="00EF5F56" w:rsidP="002303CF">
      <w:r>
        <w:separator/>
      </w:r>
    </w:p>
  </w:footnote>
  <w:footnote w:type="continuationSeparator" w:id="0">
    <w:p w:rsidR="00EF5F56" w:rsidRDefault="00EF5F56" w:rsidP="002303CF">
      <w:r>
        <w:continuationSeparator/>
      </w:r>
    </w:p>
  </w:footnote>
  <w:footnote w:id="1">
    <w:p w:rsidR="00EF5F56" w:rsidRPr="003144F2" w:rsidRDefault="00EF5F56"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EF5F56" w:rsidRPr="002451BC" w:rsidRDefault="00EF5F56" w:rsidP="00006413">
      <w:pPr>
        <w:pStyle w:val="FootnoteText"/>
        <w:rPr>
          <w:lang w:val="lv-LV"/>
        </w:rPr>
      </w:pPr>
    </w:p>
  </w:footnote>
  <w:footnote w:id="2">
    <w:p w:rsidR="00A7088A" w:rsidRPr="00272274" w:rsidRDefault="00A7088A" w:rsidP="00A7088A">
      <w:pPr>
        <w:pStyle w:val="FootnoteText"/>
        <w:rPr>
          <w:lang w:val="lv-LV"/>
        </w:rPr>
      </w:pPr>
      <w:r>
        <w:rPr>
          <w:rStyle w:val="FootnoteReference"/>
        </w:rPr>
        <w:footnoteRef/>
      </w:r>
      <w:r>
        <w:t xml:space="preserve"> </w:t>
      </w:r>
      <w:r w:rsidRPr="006430AA">
        <w:rPr>
          <w:lang w:val="lv-LV"/>
        </w:rPr>
        <w:t xml:space="preserve">Zemākās cenas kritērija noteikšana ir pamatojama ar to, ka </w:t>
      </w:r>
      <w:r>
        <w:rPr>
          <w:lang w:val="lv-LV"/>
        </w:rPr>
        <w:t>iepirkuma</w:t>
      </w:r>
      <w:r w:rsidRPr="006430AA">
        <w:rPr>
          <w:lang w:val="lv-LV"/>
        </w:rPr>
        <w:t xml:space="preserve"> izpildes prasības var noteikt precīzi un nav citu būtisku faktoru, kas būtu vērtējami kritērija ietvaros</w:t>
      </w:r>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5F56" w:rsidRDefault="00EF5F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p>
  <w:p w:rsidR="00EF5F56" w:rsidRDefault="00EF5F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0"/>
  </w:num>
  <w:num w:numId="4">
    <w:abstractNumId w:val="5"/>
  </w:num>
  <w:num w:numId="5">
    <w:abstractNumId w:val="11"/>
  </w:num>
  <w:num w:numId="6">
    <w:abstractNumId w:val="17"/>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5"/>
  </w:num>
  <w:num w:numId="15">
    <w:abstractNumId w:val="8"/>
  </w:num>
  <w:num w:numId="16">
    <w:abstractNumId w:val="18"/>
  </w:num>
  <w:num w:numId="17">
    <w:abstractNumId w:val="14"/>
  </w:num>
  <w:num w:numId="18">
    <w:abstractNumId w:val="16"/>
  </w:num>
  <w:num w:numId="19">
    <w:abstractNumId w:val="12"/>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6E47"/>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31E"/>
    <w:rsid w:val="0012733C"/>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205"/>
    <w:rsid w:val="002319C4"/>
    <w:rsid w:val="002321A4"/>
    <w:rsid w:val="00232C86"/>
    <w:rsid w:val="00234035"/>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6834"/>
    <w:rsid w:val="002B76EB"/>
    <w:rsid w:val="002C0DBE"/>
    <w:rsid w:val="002C0F94"/>
    <w:rsid w:val="002C10DB"/>
    <w:rsid w:val="002C111B"/>
    <w:rsid w:val="002C2220"/>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84"/>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8F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4931"/>
    <w:rsid w:val="007E565D"/>
    <w:rsid w:val="007E6201"/>
    <w:rsid w:val="007E75A9"/>
    <w:rsid w:val="007F0033"/>
    <w:rsid w:val="007F209F"/>
    <w:rsid w:val="007F378B"/>
    <w:rsid w:val="007F7704"/>
    <w:rsid w:val="007F7AE6"/>
    <w:rsid w:val="008015DC"/>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809"/>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088A"/>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59CA"/>
    <w:rsid w:val="00A868F9"/>
    <w:rsid w:val="00A870DA"/>
    <w:rsid w:val="00A91387"/>
    <w:rsid w:val="00A913CE"/>
    <w:rsid w:val="00A91607"/>
    <w:rsid w:val="00A94163"/>
    <w:rsid w:val="00A945B9"/>
    <w:rsid w:val="00AA0351"/>
    <w:rsid w:val="00AA0A3C"/>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93C"/>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EB4"/>
    <w:rsid w:val="00B45F4F"/>
    <w:rsid w:val="00B46360"/>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3ED5"/>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2D2A"/>
    <w:rsid w:val="00C83248"/>
    <w:rsid w:val="00C83A05"/>
    <w:rsid w:val="00C846E8"/>
    <w:rsid w:val="00C8483D"/>
    <w:rsid w:val="00C84948"/>
    <w:rsid w:val="00C84992"/>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1E66"/>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6F37"/>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5A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07FB"/>
    <w:rsid w:val="00E538F7"/>
    <w:rsid w:val="00E566FC"/>
    <w:rsid w:val="00E5680D"/>
    <w:rsid w:val="00E570A8"/>
    <w:rsid w:val="00E5752A"/>
    <w:rsid w:val="00E609AA"/>
    <w:rsid w:val="00E62EAC"/>
    <w:rsid w:val="00E6499B"/>
    <w:rsid w:val="00E66C51"/>
    <w:rsid w:val="00E718B4"/>
    <w:rsid w:val="00E73562"/>
    <w:rsid w:val="00E73FDC"/>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5D4E"/>
    <w:rsid w:val="00F2774A"/>
    <w:rsid w:val="00F3037D"/>
    <w:rsid w:val="00F304DF"/>
    <w:rsid w:val="00F32348"/>
    <w:rsid w:val="00F33BF9"/>
    <w:rsid w:val="00F33F9E"/>
    <w:rsid w:val="00F346EA"/>
    <w:rsid w:val="00F357CB"/>
    <w:rsid w:val="00F35BF7"/>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3BCF2D04"/>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styleId="UnresolvedMention">
    <w:name w:val="Unresolved Mention"/>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yperlink" Target="http://sankcijas.k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92A5-6938-45A8-80E2-FE89F6AF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5912</TotalTime>
  <Pages>16</Pages>
  <Words>28959</Words>
  <Characters>16507</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45376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Renāte Dzērviniece</cp:lastModifiedBy>
  <cp:revision>66</cp:revision>
  <cp:lastPrinted>2018-10-31T12:18:00Z</cp:lastPrinted>
  <dcterms:created xsi:type="dcterms:W3CDTF">2017-12-21T12:42:00Z</dcterms:created>
  <dcterms:modified xsi:type="dcterms:W3CDTF">2018-11-07T07:50:00Z</dcterms:modified>
</cp:coreProperties>
</file>