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BC6C56" w:rsidRDefault="00522927" w:rsidP="00522927">
      <w:pPr>
        <w:pStyle w:val="BlockText"/>
        <w:ind w:left="0" w:right="-57"/>
        <w:jc w:val="right"/>
        <w:rPr>
          <w:sz w:val="20"/>
        </w:rPr>
      </w:pPr>
      <w:r w:rsidRPr="00BC6C56">
        <w:rPr>
          <w:sz w:val="20"/>
        </w:rPr>
        <w:t>Ventspils brīvostas pārvaldes</w:t>
      </w:r>
    </w:p>
    <w:p w:rsidR="00522927" w:rsidRPr="00BC6C56" w:rsidRDefault="00446A2A" w:rsidP="00522927">
      <w:pPr>
        <w:pStyle w:val="BlockText"/>
        <w:ind w:left="0" w:right="-57"/>
        <w:jc w:val="right"/>
        <w:rPr>
          <w:sz w:val="20"/>
        </w:rPr>
      </w:pPr>
      <w:r w:rsidRPr="00BC6C56">
        <w:rPr>
          <w:sz w:val="20"/>
        </w:rPr>
        <w:t>2018.</w:t>
      </w:r>
      <w:r w:rsidR="00013C75" w:rsidRPr="00BC6C56">
        <w:rPr>
          <w:sz w:val="20"/>
        </w:rPr>
        <w:t>gada</w:t>
      </w:r>
      <w:r w:rsidR="00DE7BCB" w:rsidRPr="00BC6C56">
        <w:rPr>
          <w:sz w:val="20"/>
        </w:rPr>
        <w:t xml:space="preserve"> </w:t>
      </w:r>
      <w:r w:rsidR="00C64171">
        <w:rPr>
          <w:sz w:val="20"/>
        </w:rPr>
        <w:t>07</w:t>
      </w:r>
      <w:r w:rsidR="001B6CA8">
        <w:rPr>
          <w:sz w:val="20"/>
        </w:rPr>
        <w:t>.</w:t>
      </w:r>
      <w:r w:rsidR="009F6D6B">
        <w:rPr>
          <w:sz w:val="20"/>
        </w:rPr>
        <w:t>decembra</w:t>
      </w:r>
    </w:p>
    <w:p w:rsidR="00522927" w:rsidRPr="003144F2" w:rsidRDefault="00522927" w:rsidP="00522927">
      <w:pPr>
        <w:pStyle w:val="BlockText"/>
        <w:ind w:left="0" w:right="-57"/>
        <w:jc w:val="right"/>
        <w:rPr>
          <w:sz w:val="20"/>
        </w:rPr>
      </w:pPr>
      <w:r w:rsidRPr="00BC6C56">
        <w:rPr>
          <w:sz w:val="20"/>
        </w:rPr>
        <w:t>Iepirkumu</w:t>
      </w:r>
      <w:r w:rsidRPr="00A74F98">
        <w:rPr>
          <w:sz w:val="20"/>
        </w:rPr>
        <w:t xml:space="preserve">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Default="00522927" w:rsidP="00522927">
      <w:pPr>
        <w:ind w:right="-57"/>
        <w:jc w:val="center"/>
        <w:rPr>
          <w:b/>
          <w:sz w:val="48"/>
          <w:szCs w:val="48"/>
        </w:rPr>
      </w:pPr>
    </w:p>
    <w:p w:rsidR="00DF4580" w:rsidRPr="003144F2" w:rsidRDefault="00DF4580" w:rsidP="00522927">
      <w:pPr>
        <w:ind w:right="-57"/>
        <w:jc w:val="center"/>
        <w:rPr>
          <w:b/>
          <w:sz w:val="48"/>
          <w:szCs w:val="48"/>
        </w:rPr>
      </w:pPr>
    </w:p>
    <w:p w:rsidR="00F04483" w:rsidRPr="0093680C" w:rsidRDefault="00F04483" w:rsidP="00F04483">
      <w:pPr>
        <w:ind w:right="-57"/>
        <w:jc w:val="center"/>
        <w:rPr>
          <w:b/>
          <w:sz w:val="40"/>
          <w:szCs w:val="40"/>
        </w:rPr>
      </w:pPr>
      <w:r w:rsidRPr="0093680C">
        <w:rPr>
          <w:b/>
          <w:sz w:val="40"/>
          <w:szCs w:val="40"/>
        </w:rPr>
        <w:t>„</w:t>
      </w:r>
      <w:r w:rsidR="001B6CA8" w:rsidRPr="001B6CA8">
        <w:t xml:space="preserve"> </w:t>
      </w:r>
      <w:r w:rsidR="001B6CA8" w:rsidRPr="001B6CA8">
        <w:rPr>
          <w:b/>
          <w:sz w:val="48"/>
          <w:szCs w:val="48"/>
        </w:rPr>
        <w:t>Ventspils brīvostas kuģu ceļa ārkārtas padziļināšanas darbi</w:t>
      </w:r>
      <w:r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510460">
        <w:rPr>
          <w:b/>
          <w:sz w:val="40"/>
          <w:szCs w:val="40"/>
        </w:rPr>
        <w:t>1</w:t>
      </w:r>
      <w:r w:rsidR="001B6CA8">
        <w:rPr>
          <w:b/>
          <w:sz w:val="40"/>
          <w:szCs w:val="40"/>
        </w:rPr>
        <w:t>79</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Default="00522927"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Default="00DF4580" w:rsidP="00522927">
      <w:pPr>
        <w:ind w:right="-57"/>
        <w:rPr>
          <w:sz w:val="24"/>
        </w:rPr>
      </w:pPr>
    </w:p>
    <w:p w:rsidR="00DF4580" w:rsidRPr="003144F2" w:rsidRDefault="00DF4580" w:rsidP="00522927">
      <w:pPr>
        <w:ind w:right="-57"/>
        <w:rPr>
          <w:sz w:val="24"/>
        </w:rPr>
      </w:pPr>
    </w:p>
    <w:p w:rsidR="003605F8" w:rsidRPr="005E55AA" w:rsidRDefault="00522927" w:rsidP="005E55AA">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797"/>
        <w:gridCol w:w="1002"/>
      </w:tblGrid>
      <w:tr w:rsidR="00E94FFA" w:rsidRPr="003144F2" w:rsidTr="004A4EAF">
        <w:tc>
          <w:tcPr>
            <w:tcW w:w="7797"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002"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002"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4A4EAF">
        <w:tc>
          <w:tcPr>
            <w:tcW w:w="7797"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002"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002"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002"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002"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002" w:type="dxa"/>
            <w:vAlign w:val="center"/>
          </w:tcPr>
          <w:p w:rsidR="00E94FFA" w:rsidRPr="003144F2" w:rsidRDefault="00863987" w:rsidP="00E94FFA">
            <w:pPr>
              <w:ind w:right="34"/>
              <w:jc w:val="right"/>
              <w:rPr>
                <w:sz w:val="24"/>
                <w:szCs w:val="24"/>
              </w:rPr>
            </w:pPr>
            <w:r>
              <w:rPr>
                <w:sz w:val="24"/>
                <w:szCs w:val="24"/>
              </w:rPr>
              <w:t>8</w:t>
            </w:r>
            <w:r w:rsidR="00E94FFA"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002" w:type="dxa"/>
            <w:vAlign w:val="center"/>
          </w:tcPr>
          <w:p w:rsidR="00E94FFA" w:rsidRPr="003144F2" w:rsidRDefault="00863987" w:rsidP="00477067">
            <w:pPr>
              <w:ind w:right="34"/>
              <w:jc w:val="right"/>
              <w:rPr>
                <w:sz w:val="24"/>
                <w:szCs w:val="24"/>
              </w:rPr>
            </w:pPr>
            <w:r>
              <w:rPr>
                <w:sz w:val="24"/>
                <w:szCs w:val="24"/>
              </w:rPr>
              <w:t>9</w:t>
            </w:r>
            <w:r w:rsidR="00E94FFA"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002"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0</w:t>
            </w:r>
            <w:r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002" w:type="dxa"/>
            <w:vAlign w:val="center"/>
          </w:tcPr>
          <w:p w:rsidR="00E94FFA" w:rsidRPr="003144F2" w:rsidRDefault="00E94FFA" w:rsidP="00031BAB">
            <w:pPr>
              <w:ind w:right="34"/>
              <w:jc w:val="right"/>
              <w:rPr>
                <w:sz w:val="24"/>
                <w:szCs w:val="24"/>
              </w:rPr>
            </w:pPr>
            <w:r w:rsidRPr="003144F2">
              <w:rPr>
                <w:sz w:val="24"/>
                <w:szCs w:val="24"/>
              </w:rPr>
              <w:t>1</w:t>
            </w:r>
            <w:r w:rsidR="00863987">
              <w:rPr>
                <w:sz w:val="24"/>
                <w:szCs w:val="24"/>
              </w:rPr>
              <w:t>1</w:t>
            </w:r>
            <w:r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002" w:type="dxa"/>
            <w:vAlign w:val="center"/>
          </w:tcPr>
          <w:p w:rsidR="00E94FFA" w:rsidRPr="003144F2" w:rsidRDefault="00E94FFA" w:rsidP="00031BAB">
            <w:pPr>
              <w:ind w:right="34"/>
              <w:jc w:val="right"/>
              <w:rPr>
                <w:sz w:val="24"/>
                <w:szCs w:val="24"/>
              </w:rPr>
            </w:pPr>
            <w:r w:rsidRPr="003144F2">
              <w:rPr>
                <w:sz w:val="24"/>
                <w:szCs w:val="24"/>
              </w:rPr>
              <w:t>1</w:t>
            </w:r>
            <w:r w:rsidR="00477584">
              <w:rPr>
                <w:sz w:val="24"/>
                <w:szCs w:val="24"/>
              </w:rPr>
              <w:t>2</w:t>
            </w:r>
            <w:r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002" w:type="dxa"/>
            <w:vAlign w:val="center"/>
          </w:tcPr>
          <w:p w:rsidR="00E94FFA" w:rsidRPr="003144F2" w:rsidRDefault="00E94FFA" w:rsidP="00031BAB">
            <w:pPr>
              <w:ind w:right="34"/>
              <w:jc w:val="right"/>
              <w:rPr>
                <w:sz w:val="24"/>
                <w:szCs w:val="24"/>
              </w:rPr>
            </w:pPr>
            <w:r w:rsidRPr="003144F2">
              <w:rPr>
                <w:sz w:val="24"/>
                <w:szCs w:val="24"/>
              </w:rPr>
              <w:t>1</w:t>
            </w:r>
            <w:r w:rsidR="00863987">
              <w:rPr>
                <w:sz w:val="24"/>
                <w:szCs w:val="24"/>
              </w:rPr>
              <w:t>2</w:t>
            </w:r>
            <w:r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002" w:type="dxa"/>
            <w:vAlign w:val="center"/>
          </w:tcPr>
          <w:p w:rsidR="00E94FFA" w:rsidRPr="003144F2" w:rsidRDefault="00E94FFA" w:rsidP="00031BAB">
            <w:pPr>
              <w:ind w:right="34"/>
              <w:jc w:val="right"/>
              <w:rPr>
                <w:sz w:val="24"/>
                <w:szCs w:val="24"/>
              </w:rPr>
            </w:pPr>
            <w:r w:rsidRPr="003144F2">
              <w:rPr>
                <w:sz w:val="24"/>
                <w:szCs w:val="24"/>
              </w:rPr>
              <w:t>1</w:t>
            </w:r>
            <w:r w:rsidR="00863987">
              <w:rPr>
                <w:sz w:val="24"/>
                <w:szCs w:val="24"/>
              </w:rPr>
              <w:t>3</w:t>
            </w:r>
            <w:r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002" w:type="dxa"/>
            <w:vAlign w:val="center"/>
          </w:tcPr>
          <w:p w:rsidR="00E94FFA" w:rsidRPr="003144F2" w:rsidRDefault="00477584" w:rsidP="00477067">
            <w:pPr>
              <w:ind w:right="34"/>
              <w:jc w:val="right"/>
              <w:rPr>
                <w:sz w:val="24"/>
                <w:szCs w:val="24"/>
              </w:rPr>
            </w:pPr>
            <w:r>
              <w:rPr>
                <w:sz w:val="24"/>
                <w:szCs w:val="24"/>
              </w:rPr>
              <w:t>1</w:t>
            </w:r>
            <w:r w:rsidR="00863987">
              <w:rPr>
                <w:sz w:val="24"/>
                <w:szCs w:val="24"/>
              </w:rPr>
              <w:t>4</w:t>
            </w:r>
            <w:r w:rsidR="00E94FFA"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002" w:type="dxa"/>
            <w:vAlign w:val="center"/>
          </w:tcPr>
          <w:p w:rsidR="00E94FFA" w:rsidRPr="003144F2" w:rsidRDefault="00477584" w:rsidP="00031BAB">
            <w:pPr>
              <w:ind w:right="34"/>
              <w:jc w:val="right"/>
              <w:rPr>
                <w:sz w:val="24"/>
                <w:szCs w:val="24"/>
              </w:rPr>
            </w:pPr>
            <w:r>
              <w:rPr>
                <w:sz w:val="24"/>
                <w:szCs w:val="24"/>
              </w:rPr>
              <w:t>1</w:t>
            </w:r>
            <w:r w:rsidR="00863987">
              <w:rPr>
                <w:sz w:val="24"/>
                <w:szCs w:val="24"/>
              </w:rPr>
              <w:t>6</w:t>
            </w:r>
            <w:r w:rsidR="00E94FFA" w:rsidRPr="003144F2">
              <w:rPr>
                <w:sz w:val="24"/>
                <w:szCs w:val="24"/>
              </w:rPr>
              <w:t>.lpp.</w:t>
            </w:r>
          </w:p>
        </w:tc>
      </w:tr>
      <w:tr w:rsidR="00E94FFA" w:rsidRPr="003144F2" w:rsidTr="004A4EAF">
        <w:tc>
          <w:tcPr>
            <w:tcW w:w="7797" w:type="dxa"/>
            <w:vAlign w:val="center"/>
          </w:tcPr>
          <w:p w:rsidR="00E94FFA" w:rsidRPr="003144F2" w:rsidRDefault="00E94FFA" w:rsidP="00E94FFA">
            <w:pPr>
              <w:spacing w:line="276" w:lineRule="auto"/>
              <w:ind w:right="-57"/>
              <w:rPr>
                <w:sz w:val="24"/>
                <w:szCs w:val="24"/>
              </w:rPr>
            </w:pPr>
            <w:r w:rsidRPr="003144F2">
              <w:rPr>
                <w:sz w:val="24"/>
                <w:szCs w:val="24"/>
              </w:rPr>
              <w:t xml:space="preserve">1.PIELIKUMS  –  </w:t>
            </w:r>
            <w:r w:rsidR="001B6CA8">
              <w:rPr>
                <w:sz w:val="24"/>
                <w:szCs w:val="24"/>
              </w:rPr>
              <w:t>DARBA UZDEVUMS</w:t>
            </w:r>
          </w:p>
        </w:tc>
        <w:tc>
          <w:tcPr>
            <w:tcW w:w="1002" w:type="dxa"/>
            <w:vAlign w:val="center"/>
          </w:tcPr>
          <w:p w:rsidR="00E94FFA" w:rsidRPr="003144F2" w:rsidRDefault="00477584" w:rsidP="00470338">
            <w:pPr>
              <w:ind w:right="34"/>
              <w:jc w:val="right"/>
              <w:rPr>
                <w:sz w:val="24"/>
                <w:szCs w:val="24"/>
              </w:rPr>
            </w:pPr>
            <w:r>
              <w:rPr>
                <w:sz w:val="24"/>
                <w:szCs w:val="24"/>
              </w:rPr>
              <w:t>1</w:t>
            </w:r>
            <w:r w:rsidR="00863987">
              <w:rPr>
                <w:sz w:val="24"/>
                <w:szCs w:val="24"/>
              </w:rPr>
              <w:t>7</w:t>
            </w:r>
            <w:r w:rsidR="00E94FFA" w:rsidRPr="003144F2">
              <w:rPr>
                <w:sz w:val="24"/>
                <w:szCs w:val="24"/>
              </w:rPr>
              <w:t>.lpp.</w:t>
            </w:r>
          </w:p>
        </w:tc>
      </w:tr>
      <w:tr w:rsidR="00E94FFA" w:rsidRPr="003144F2" w:rsidTr="004A4EAF">
        <w:tc>
          <w:tcPr>
            <w:tcW w:w="7797" w:type="dxa"/>
            <w:vAlign w:val="center"/>
          </w:tcPr>
          <w:p w:rsidR="00E94FFA" w:rsidRPr="003144F2" w:rsidRDefault="00446FF3"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002" w:type="dxa"/>
            <w:vAlign w:val="center"/>
          </w:tcPr>
          <w:p w:rsidR="00E94FFA" w:rsidRPr="003144F2" w:rsidRDefault="00863987" w:rsidP="00E94FFA">
            <w:pPr>
              <w:ind w:right="34"/>
              <w:jc w:val="right"/>
              <w:rPr>
                <w:sz w:val="24"/>
                <w:szCs w:val="24"/>
              </w:rPr>
            </w:pPr>
            <w:r>
              <w:rPr>
                <w:sz w:val="24"/>
                <w:szCs w:val="24"/>
              </w:rPr>
              <w:t>18</w:t>
            </w:r>
            <w:r w:rsidR="00E94FFA" w:rsidRPr="003144F2">
              <w:rPr>
                <w:sz w:val="24"/>
                <w:szCs w:val="24"/>
              </w:rPr>
              <w:t>.lpp.</w:t>
            </w:r>
          </w:p>
        </w:tc>
      </w:tr>
      <w:tr w:rsidR="00E94FFA" w:rsidRPr="003144F2" w:rsidTr="004A4EAF">
        <w:tc>
          <w:tcPr>
            <w:tcW w:w="7797" w:type="dxa"/>
            <w:vAlign w:val="center"/>
          </w:tcPr>
          <w:p w:rsidR="00E94FFA" w:rsidRPr="003144F2" w:rsidRDefault="00446FF3" w:rsidP="00E94FFA">
            <w:pPr>
              <w:spacing w:line="276" w:lineRule="auto"/>
              <w:ind w:right="-57"/>
              <w:rPr>
                <w:sz w:val="24"/>
                <w:szCs w:val="24"/>
              </w:rPr>
            </w:pPr>
            <w:r>
              <w:rPr>
                <w:sz w:val="24"/>
                <w:szCs w:val="24"/>
              </w:rPr>
              <w:t>3</w:t>
            </w:r>
            <w:r w:rsidR="00E94FFA" w:rsidRPr="003144F2">
              <w:rPr>
                <w:sz w:val="24"/>
                <w:szCs w:val="24"/>
              </w:rPr>
              <w:t>.PIELIKUMS  –  IZPILDĪTO  DARBU  SARAKSTA VEIDLAPA</w:t>
            </w:r>
          </w:p>
        </w:tc>
        <w:tc>
          <w:tcPr>
            <w:tcW w:w="1002" w:type="dxa"/>
            <w:vAlign w:val="center"/>
          </w:tcPr>
          <w:p w:rsidR="00E94FFA" w:rsidRPr="003144F2" w:rsidRDefault="00C74826" w:rsidP="00E94FFA">
            <w:pPr>
              <w:ind w:right="34"/>
              <w:jc w:val="right"/>
              <w:rPr>
                <w:sz w:val="24"/>
                <w:szCs w:val="24"/>
                <w:highlight w:val="yellow"/>
              </w:rPr>
            </w:pPr>
            <w:r>
              <w:rPr>
                <w:sz w:val="24"/>
                <w:szCs w:val="24"/>
              </w:rPr>
              <w:t>2</w:t>
            </w:r>
            <w:r w:rsidR="00863987">
              <w:rPr>
                <w:sz w:val="24"/>
                <w:szCs w:val="24"/>
              </w:rPr>
              <w:t>0</w:t>
            </w:r>
            <w:r w:rsidR="00E94FFA" w:rsidRPr="003144F2">
              <w:rPr>
                <w:sz w:val="24"/>
                <w:szCs w:val="24"/>
              </w:rPr>
              <w:t>.lpp.</w:t>
            </w:r>
          </w:p>
        </w:tc>
      </w:tr>
      <w:tr w:rsidR="00E94FFA" w:rsidRPr="003144F2" w:rsidTr="004A4EAF">
        <w:tc>
          <w:tcPr>
            <w:tcW w:w="7797" w:type="dxa"/>
            <w:vAlign w:val="center"/>
          </w:tcPr>
          <w:p w:rsidR="00E94FFA" w:rsidRPr="003144F2" w:rsidRDefault="00DF4580" w:rsidP="00E94FFA">
            <w:pPr>
              <w:spacing w:line="276" w:lineRule="auto"/>
              <w:ind w:right="-57"/>
              <w:rPr>
                <w:sz w:val="24"/>
                <w:szCs w:val="24"/>
              </w:rPr>
            </w:pPr>
            <w:r>
              <w:rPr>
                <w:sz w:val="24"/>
                <w:szCs w:val="24"/>
              </w:rPr>
              <w:t>4.</w:t>
            </w:r>
            <w:r w:rsidR="00E94FFA" w:rsidRPr="003144F2">
              <w:rPr>
                <w:sz w:val="24"/>
                <w:szCs w:val="24"/>
              </w:rPr>
              <w:t>PIELIKUMS  –  APAKŠUZŅĒMĒJU  SARAKSTA  UN APAKŠUZŅĒMEJA  APLIECINĀJUMA  VEIDLAPAS</w:t>
            </w:r>
          </w:p>
        </w:tc>
        <w:tc>
          <w:tcPr>
            <w:tcW w:w="1002" w:type="dxa"/>
            <w:vAlign w:val="center"/>
          </w:tcPr>
          <w:p w:rsidR="00E94FFA" w:rsidRPr="003144F2" w:rsidRDefault="00477584" w:rsidP="00E94FFA">
            <w:pPr>
              <w:ind w:right="34"/>
              <w:jc w:val="right"/>
              <w:rPr>
                <w:sz w:val="24"/>
                <w:szCs w:val="24"/>
              </w:rPr>
            </w:pPr>
            <w:r>
              <w:rPr>
                <w:sz w:val="24"/>
                <w:szCs w:val="24"/>
              </w:rPr>
              <w:t>2</w:t>
            </w:r>
            <w:r w:rsidR="00863987">
              <w:rPr>
                <w:sz w:val="24"/>
                <w:szCs w:val="24"/>
              </w:rPr>
              <w:t>1</w:t>
            </w:r>
            <w:r w:rsidR="00E94FFA" w:rsidRPr="003144F2">
              <w:rPr>
                <w:sz w:val="24"/>
                <w:szCs w:val="24"/>
              </w:rPr>
              <w:t>.lpp.</w:t>
            </w:r>
          </w:p>
        </w:tc>
      </w:tr>
      <w:tr w:rsidR="00E94FFA" w:rsidRPr="003144F2" w:rsidTr="004A4EAF">
        <w:tc>
          <w:tcPr>
            <w:tcW w:w="7797" w:type="dxa"/>
            <w:vAlign w:val="center"/>
          </w:tcPr>
          <w:p w:rsidR="00E94FFA" w:rsidRPr="003144F2" w:rsidRDefault="00DF4580" w:rsidP="00E94FFA">
            <w:pPr>
              <w:spacing w:line="276" w:lineRule="auto"/>
              <w:ind w:right="-57"/>
              <w:rPr>
                <w:sz w:val="24"/>
                <w:szCs w:val="24"/>
              </w:rPr>
            </w:pPr>
            <w:r>
              <w:rPr>
                <w:sz w:val="24"/>
                <w:szCs w:val="24"/>
              </w:rPr>
              <w:t>5</w:t>
            </w:r>
            <w:r w:rsidR="00E94FFA" w:rsidRPr="003144F2">
              <w:rPr>
                <w:sz w:val="24"/>
                <w:szCs w:val="24"/>
              </w:rPr>
              <w:t>.PIELIKUMS –  IEPIRKUMA  LĪGUMA  PROJEKTS</w:t>
            </w:r>
          </w:p>
        </w:tc>
        <w:tc>
          <w:tcPr>
            <w:tcW w:w="1002" w:type="dxa"/>
            <w:vAlign w:val="center"/>
          </w:tcPr>
          <w:p w:rsidR="00E94FFA" w:rsidRPr="003144F2" w:rsidRDefault="00477584" w:rsidP="00E94FFA">
            <w:pPr>
              <w:ind w:right="34"/>
              <w:jc w:val="right"/>
              <w:rPr>
                <w:sz w:val="24"/>
                <w:szCs w:val="24"/>
              </w:rPr>
            </w:pPr>
            <w:r>
              <w:rPr>
                <w:sz w:val="24"/>
                <w:szCs w:val="24"/>
              </w:rPr>
              <w:t>2</w:t>
            </w:r>
            <w:r w:rsidR="00863987">
              <w:rPr>
                <w:sz w:val="24"/>
                <w:szCs w:val="24"/>
              </w:rPr>
              <w:t>3</w:t>
            </w:r>
            <w:r w:rsidR="00E94FFA" w:rsidRPr="003144F2">
              <w:rPr>
                <w:sz w:val="24"/>
                <w:szCs w:val="24"/>
              </w:rPr>
              <w:t>.lpp.</w:t>
            </w:r>
          </w:p>
        </w:tc>
      </w:tr>
      <w:tr w:rsidR="004A4EAF" w:rsidRPr="003144F2" w:rsidTr="004A4EAF">
        <w:tc>
          <w:tcPr>
            <w:tcW w:w="7797" w:type="dxa"/>
            <w:vAlign w:val="center"/>
          </w:tcPr>
          <w:p w:rsidR="004A4EAF" w:rsidRDefault="004A4EAF" w:rsidP="00E94FFA">
            <w:pPr>
              <w:spacing w:line="276" w:lineRule="auto"/>
              <w:ind w:right="-57"/>
              <w:rPr>
                <w:sz w:val="24"/>
                <w:szCs w:val="24"/>
              </w:rPr>
            </w:pPr>
            <w:r>
              <w:rPr>
                <w:sz w:val="24"/>
                <w:szCs w:val="24"/>
              </w:rPr>
              <w:t xml:space="preserve">6.PIELIKUMS – </w:t>
            </w:r>
            <w:r w:rsidRPr="004A4EAF">
              <w:rPr>
                <w:caps/>
                <w:sz w:val="24"/>
                <w:szCs w:val="24"/>
              </w:rPr>
              <w:t>konkursa uzvarētāja noteikšanas piemērs</w:t>
            </w:r>
          </w:p>
        </w:tc>
        <w:tc>
          <w:tcPr>
            <w:tcW w:w="1002" w:type="dxa"/>
            <w:vAlign w:val="center"/>
          </w:tcPr>
          <w:p w:rsidR="004A4EAF" w:rsidRDefault="004A4EAF" w:rsidP="00E94FFA">
            <w:pPr>
              <w:ind w:right="34"/>
              <w:jc w:val="right"/>
              <w:rPr>
                <w:sz w:val="24"/>
                <w:szCs w:val="24"/>
              </w:rPr>
            </w:pPr>
            <w:r>
              <w:rPr>
                <w:sz w:val="24"/>
                <w:szCs w:val="24"/>
              </w:rPr>
              <w:t>28.lpp.</w:t>
            </w:r>
          </w:p>
        </w:tc>
      </w:tr>
    </w:tbl>
    <w:p w:rsidR="009B0E89" w:rsidRPr="003144F2" w:rsidRDefault="009B0E89" w:rsidP="006D207A">
      <w:pPr>
        <w:tabs>
          <w:tab w:val="left" w:pos="2325"/>
        </w:tabs>
        <w:rPr>
          <w:sz w:val="24"/>
          <w:szCs w:val="24"/>
        </w:rPr>
      </w:pPr>
    </w:p>
    <w:p w:rsidR="00522927" w:rsidRPr="003144F2" w:rsidRDefault="00522927" w:rsidP="00B45EB4">
      <w:pPr>
        <w:pStyle w:val="Heading1"/>
        <w:pageBreakBefore/>
        <w:numPr>
          <w:ilvl w:val="0"/>
          <w:numId w:val="2"/>
        </w:numPr>
        <w:overflowPunct w:val="0"/>
        <w:autoSpaceDE w:val="0"/>
        <w:autoSpaceDN w:val="0"/>
        <w:adjustRightInd w:val="0"/>
        <w:spacing w:before="240" w:after="24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bookmarkStart w:id="3" w:name="_Hlk501551863"/>
      <w:r w:rsidRPr="003144F2">
        <w:rPr>
          <w:szCs w:val="24"/>
        </w:rPr>
        <w:t xml:space="preserve">VBOP </w:t>
      </w:r>
      <w:bookmarkEnd w:id="2"/>
      <w:r w:rsidR="004752A7">
        <w:rPr>
          <w:szCs w:val="24"/>
        </w:rPr>
        <w:t>2018</w:t>
      </w:r>
      <w:r w:rsidR="00E76C6F" w:rsidRPr="00286E12">
        <w:rPr>
          <w:szCs w:val="24"/>
        </w:rPr>
        <w:t>/</w:t>
      </w:r>
      <w:r w:rsidR="00510460">
        <w:rPr>
          <w:szCs w:val="24"/>
        </w:rPr>
        <w:t>1</w:t>
      </w:r>
      <w:bookmarkEnd w:id="3"/>
      <w:r w:rsidR="001B6CA8">
        <w:rPr>
          <w:szCs w:val="24"/>
        </w:rPr>
        <w:t>79</w:t>
      </w:r>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4" w:name="_Ref200332870"/>
      <w:bookmarkStart w:id="5"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C64171" w:rsidP="00522927">
            <w:pPr>
              <w:overflowPunct w:val="0"/>
              <w:autoSpaceDE w:val="0"/>
              <w:autoSpaceDN w:val="0"/>
              <w:adjustRightInd w:val="0"/>
              <w:textAlignment w:val="baseline"/>
              <w:rPr>
                <w:sz w:val="24"/>
                <w:szCs w:val="24"/>
              </w:rPr>
            </w:pPr>
            <w:hyperlink r:id="rId8" w:history="1">
              <w:r w:rsidR="00E94FFA" w:rsidRPr="00B20E00">
                <w:rPr>
                  <w:rStyle w:val="Hyperlink"/>
                  <w:sz w:val="24"/>
                  <w:szCs w:val="24"/>
                </w:rPr>
                <w:t>iepirkumi@vbp.lv</w:t>
              </w:r>
            </w:hyperlink>
          </w:p>
        </w:tc>
      </w:tr>
      <w:tr w:rsidR="006F4241" w:rsidRPr="003144F2" w:rsidTr="00EF5F56">
        <w:tc>
          <w:tcPr>
            <w:tcW w:w="2835" w:type="dxa"/>
            <w:vAlign w:val="center"/>
          </w:tcPr>
          <w:p w:rsidR="006F4241" w:rsidRPr="00286E12" w:rsidRDefault="006F4241" w:rsidP="006F4241">
            <w:pPr>
              <w:overflowPunct w:val="0"/>
              <w:autoSpaceDE w:val="0"/>
              <w:autoSpaceDN w:val="0"/>
              <w:adjustRightInd w:val="0"/>
              <w:textAlignment w:val="baseline"/>
              <w:rPr>
                <w:sz w:val="24"/>
                <w:szCs w:val="24"/>
              </w:rPr>
            </w:pPr>
            <w:r w:rsidRPr="00286E12">
              <w:rPr>
                <w:sz w:val="24"/>
                <w:szCs w:val="24"/>
              </w:rPr>
              <w:t>Kontaktpersona</w:t>
            </w:r>
          </w:p>
        </w:tc>
        <w:tc>
          <w:tcPr>
            <w:tcW w:w="6096" w:type="dxa"/>
          </w:tcPr>
          <w:p w:rsidR="006F4241" w:rsidRPr="0078293A" w:rsidRDefault="006F4241" w:rsidP="006F4241">
            <w:pPr>
              <w:rPr>
                <w:sz w:val="24"/>
                <w:szCs w:val="24"/>
              </w:rPr>
            </w:pPr>
            <w:r w:rsidRPr="0078293A">
              <w:rPr>
                <w:sz w:val="24"/>
                <w:szCs w:val="24"/>
              </w:rPr>
              <w:t xml:space="preserve">Normunds Kornijanovs, tālr. numurs </w:t>
            </w:r>
            <w:r>
              <w:rPr>
                <w:sz w:val="24"/>
                <w:szCs w:val="24"/>
              </w:rPr>
              <w:t>29342131</w:t>
            </w:r>
            <w:r w:rsidRPr="0078293A">
              <w:rPr>
                <w:sz w:val="24"/>
                <w:szCs w:val="24"/>
              </w:rPr>
              <w:t xml:space="preserve">, e-pasta adrese </w:t>
            </w:r>
            <w:hyperlink r:id="rId9" w:history="1">
              <w:r w:rsidRPr="00363460">
                <w:rPr>
                  <w:rStyle w:val="Hyperlink"/>
                  <w:sz w:val="24"/>
                  <w:szCs w:val="24"/>
                </w:rPr>
                <w:t>normunds@vbp.lv</w:t>
              </w:r>
            </w:hyperlink>
            <w:r>
              <w:rPr>
                <w:sz w:val="24"/>
                <w:szCs w:val="24"/>
              </w:rPr>
              <w:t xml:space="preserve">, </w:t>
            </w:r>
            <w:hyperlink r:id="rId10" w:history="1">
              <w:r w:rsidRPr="00363460">
                <w:rPr>
                  <w:rStyle w:val="Hyperlink"/>
                  <w:sz w:val="24"/>
                  <w:szCs w:val="24"/>
                </w:rPr>
                <w:t>iepirkumi@vbp.lv</w:t>
              </w:r>
            </w:hyperlink>
            <w:r>
              <w:rPr>
                <w:sz w:val="24"/>
                <w:szCs w:val="24"/>
              </w:rPr>
              <w:t xml:space="preserve"> </w:t>
            </w:r>
            <w:r w:rsidRPr="0078293A">
              <w:rPr>
                <w:sz w:val="24"/>
                <w:szCs w:val="24"/>
              </w:rPr>
              <w:t xml:space="preserve"> </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4"/>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5"/>
      <w:r w:rsidR="00C4162B" w:rsidRPr="003144F2">
        <w:rPr>
          <w:szCs w:val="24"/>
        </w:rPr>
        <w:t xml:space="preserve"> </w:t>
      </w:r>
      <w:r w:rsidR="001B6CA8">
        <w:rPr>
          <w:szCs w:val="24"/>
        </w:rPr>
        <w:t xml:space="preserve">(turpmāk – Konkurss) </w:t>
      </w:r>
      <w:r w:rsidR="00C4162B" w:rsidRPr="003144F2">
        <w:rPr>
          <w:szCs w:val="24"/>
        </w:rPr>
        <w:t xml:space="preserve">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w:t>
      </w:r>
      <w:r w:rsidR="00D91C53">
        <w:rPr>
          <w:szCs w:val="24"/>
        </w:rPr>
        <w:t>, personālsabiedrība</w:t>
      </w:r>
      <w:r w:rsidRPr="003144F2">
        <w:rPr>
          <w:szCs w:val="24"/>
        </w:rPr>
        <w:t xml:space="preserve"> vai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6" w:name="_Toc312767043"/>
      <w:bookmarkStart w:id="7" w:name="_Toc496711275"/>
      <w:r w:rsidRPr="003144F2">
        <w:rPr>
          <w:sz w:val="28"/>
          <w:szCs w:val="28"/>
        </w:rPr>
        <w:t>INFORMĀCIJA PAR IEPIRKUMA PRIEKŠMETU</w:t>
      </w:r>
      <w:bookmarkEnd w:id="6"/>
      <w:bookmarkEnd w:id="7"/>
    </w:p>
    <w:p w:rsidR="00B81D46" w:rsidRDefault="006F4241" w:rsidP="007B55C0">
      <w:pPr>
        <w:pStyle w:val="BlockText"/>
        <w:numPr>
          <w:ilvl w:val="1"/>
          <w:numId w:val="2"/>
        </w:numPr>
        <w:spacing w:after="120"/>
        <w:ind w:left="450" w:right="112"/>
        <w:jc w:val="both"/>
        <w:rPr>
          <w:szCs w:val="24"/>
        </w:rPr>
      </w:pPr>
      <w:r w:rsidRPr="006F4241">
        <w:rPr>
          <w:rFonts w:cs="Arial"/>
          <w:szCs w:val="24"/>
          <w:lang w:eastAsia="lv-LV"/>
        </w:rPr>
        <w:t xml:space="preserve">Iepirkuma priekšmets: </w:t>
      </w:r>
      <w:r w:rsidR="001B6CA8" w:rsidRPr="001B6CA8">
        <w:rPr>
          <w:rFonts w:cs="Arial"/>
          <w:szCs w:val="24"/>
          <w:lang w:eastAsia="lv-LV"/>
        </w:rPr>
        <w:t>Ventspils brīvostas kuģu ceļa ārkārtas padziļināšanas darbi saskaņā ar šī konkursa dokumentācijā iestrādātajām prasībām</w:t>
      </w:r>
      <w:r w:rsidR="00B81D46">
        <w:rPr>
          <w:szCs w:val="24"/>
        </w:rPr>
        <w:t>.</w:t>
      </w:r>
      <w:r w:rsidR="00B81D46" w:rsidRPr="00B81D46">
        <w:rPr>
          <w:szCs w:val="24"/>
        </w:rPr>
        <w:t xml:space="preserve"> </w:t>
      </w:r>
    </w:p>
    <w:p w:rsidR="00B45EB4" w:rsidRPr="00DF0478" w:rsidRDefault="001B6CA8" w:rsidP="001B6CA8">
      <w:pPr>
        <w:pStyle w:val="BlockText"/>
        <w:numPr>
          <w:ilvl w:val="1"/>
          <w:numId w:val="2"/>
        </w:numPr>
        <w:spacing w:after="120"/>
        <w:ind w:left="450" w:right="112"/>
        <w:jc w:val="both"/>
        <w:rPr>
          <w:szCs w:val="24"/>
        </w:rPr>
      </w:pPr>
      <w:r w:rsidRPr="00DF0478">
        <w:rPr>
          <w:szCs w:val="24"/>
          <w:lang w:eastAsia="lv-LV"/>
        </w:rPr>
        <w:t>CPV kods – 45247100-1</w:t>
      </w:r>
      <w:r w:rsidR="00F2365E">
        <w:rPr>
          <w:szCs w:val="24"/>
          <w:lang w:eastAsia="lv-LV"/>
        </w:rPr>
        <w:t xml:space="preserve"> (Ūdensceļu būvdarbi).</w:t>
      </w:r>
    </w:p>
    <w:p w:rsidR="00AC6DA9" w:rsidRPr="001B6CA8" w:rsidRDefault="001B6CA8" w:rsidP="001B6CA8">
      <w:pPr>
        <w:pStyle w:val="BlockText"/>
        <w:numPr>
          <w:ilvl w:val="1"/>
          <w:numId w:val="2"/>
        </w:numPr>
        <w:spacing w:after="120"/>
        <w:ind w:left="426" w:right="-57"/>
        <w:jc w:val="both"/>
        <w:rPr>
          <w:szCs w:val="24"/>
        </w:rPr>
      </w:pPr>
      <w:r w:rsidRPr="001B6CA8">
        <w:rPr>
          <w:szCs w:val="24"/>
        </w:rPr>
        <w:t xml:space="preserve">Konkursā paredzēto darbu veidi, to apjomi norādīti Konkursa nolikuma </w:t>
      </w:r>
      <w:r>
        <w:rPr>
          <w:szCs w:val="24"/>
        </w:rPr>
        <w:t>1.</w:t>
      </w:r>
      <w:r w:rsidRPr="001B6CA8">
        <w:rPr>
          <w:szCs w:val="24"/>
        </w:rPr>
        <w:t>pielikumā, kas kalpo par pamatu piedāvājuma sagatavošanai un iepirkuma izpildei</w:t>
      </w:r>
      <w:r>
        <w:rPr>
          <w:szCs w:val="24"/>
        </w:rPr>
        <w:t>.</w:t>
      </w:r>
    </w:p>
    <w:p w:rsidR="001B6CA8" w:rsidRPr="001B6CA8" w:rsidRDefault="001B6CA8" w:rsidP="001B6CA8">
      <w:pPr>
        <w:pStyle w:val="BlockText"/>
        <w:numPr>
          <w:ilvl w:val="1"/>
          <w:numId w:val="2"/>
        </w:numPr>
        <w:spacing w:after="120"/>
        <w:ind w:left="426" w:right="-57"/>
        <w:jc w:val="both"/>
        <w:rPr>
          <w:szCs w:val="24"/>
        </w:rPr>
      </w:pPr>
      <w:r w:rsidRPr="001B6CA8">
        <w:rPr>
          <w:szCs w:val="24"/>
          <w:lang w:eastAsia="lv-LV"/>
        </w:rPr>
        <w:t>Līguma izpildes termiņš: 24 (divdesmit četri) mēneši no iepirkuma līguma parakstīšanas. Pasūtītājs patur tiesības pagarināt iepirkuma līgumu vēl uz 12 (divpadsmit) mēnešiem</w:t>
      </w:r>
      <w:r w:rsidR="0048653F" w:rsidRPr="006F4241">
        <w:rPr>
          <w:szCs w:val="24"/>
        </w:rPr>
        <w:t>.</w:t>
      </w:r>
    </w:p>
    <w:p w:rsidR="000C1843" w:rsidRPr="003144F2" w:rsidRDefault="00522927" w:rsidP="00B45EB4">
      <w:pPr>
        <w:pStyle w:val="Heading1"/>
        <w:numPr>
          <w:ilvl w:val="0"/>
          <w:numId w:val="2"/>
        </w:numPr>
        <w:overflowPunct w:val="0"/>
        <w:autoSpaceDE w:val="0"/>
        <w:autoSpaceDN w:val="0"/>
        <w:adjustRightInd w:val="0"/>
        <w:spacing w:before="240" w:after="240"/>
        <w:jc w:val="center"/>
        <w:textAlignment w:val="baseline"/>
        <w:rPr>
          <w:sz w:val="28"/>
          <w:szCs w:val="28"/>
        </w:rPr>
      </w:pPr>
      <w:bookmarkStart w:id="8" w:name="_Toc312767044"/>
      <w:bookmarkStart w:id="9" w:name="_Toc496711276"/>
      <w:r w:rsidRPr="003144F2">
        <w:rPr>
          <w:sz w:val="28"/>
          <w:szCs w:val="28"/>
        </w:rPr>
        <w:lastRenderedPageBreak/>
        <w:t>IEPIRKUMA PROCEDŪRAS DOKUMENTI</w:t>
      </w:r>
      <w:bookmarkEnd w:id="8"/>
      <w:bookmarkEnd w:id="9"/>
    </w:p>
    <w:p w:rsidR="00522927" w:rsidRPr="003144F2" w:rsidRDefault="000144B8" w:rsidP="00961505">
      <w:pPr>
        <w:pStyle w:val="BlockText"/>
        <w:numPr>
          <w:ilvl w:val="1"/>
          <w:numId w:val="2"/>
        </w:numPr>
        <w:spacing w:after="120"/>
        <w:ind w:left="426" w:right="-57"/>
        <w:jc w:val="both"/>
        <w:rPr>
          <w:szCs w:val="24"/>
        </w:rPr>
      </w:pPr>
      <w:bookmarkStart w:id="10"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0"/>
    </w:p>
    <w:p w:rsidR="000144B8" w:rsidRPr="003144F2" w:rsidRDefault="001B6CA8" w:rsidP="00961505">
      <w:pPr>
        <w:pStyle w:val="BlockText"/>
        <w:numPr>
          <w:ilvl w:val="2"/>
          <w:numId w:val="2"/>
        </w:numPr>
        <w:ind w:left="1134" w:right="-57"/>
        <w:jc w:val="both"/>
        <w:rPr>
          <w:szCs w:val="24"/>
        </w:rPr>
      </w:pPr>
      <w:bookmarkStart w:id="11" w:name="_Hlk503532378"/>
      <w:r>
        <w:rPr>
          <w:szCs w:val="24"/>
        </w:rPr>
        <w:t>Darba uzdevums</w:t>
      </w:r>
      <w:r w:rsidR="000144B8" w:rsidRPr="003144F2">
        <w:rPr>
          <w:szCs w:val="24"/>
        </w:rPr>
        <w:t xml:space="preserve">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AC7939">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darbu saraksta veidlapa (</w:t>
      </w:r>
      <w:r w:rsidR="00AC7939">
        <w:rPr>
          <w:szCs w:val="24"/>
        </w:rPr>
        <w:t>3</w:t>
      </w:r>
      <w:r w:rsidRPr="003144F2">
        <w:rPr>
          <w:szCs w:val="24"/>
        </w:rPr>
        <w:t>.pielikums);</w:t>
      </w:r>
    </w:p>
    <w:p w:rsidR="000144B8" w:rsidRPr="00F67F1C" w:rsidRDefault="00344DE6" w:rsidP="00F67F1C">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F67F1C">
        <w:rPr>
          <w:szCs w:val="24"/>
        </w:rPr>
        <w:t>4</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F67F1C">
        <w:rPr>
          <w:szCs w:val="24"/>
        </w:rPr>
        <w:t>5</w:t>
      </w:r>
      <w:r w:rsidRPr="003144F2">
        <w:rPr>
          <w:szCs w:val="24"/>
        </w:rPr>
        <w:t>.pielikums);</w:t>
      </w:r>
    </w:p>
    <w:p w:rsidR="00AC7939" w:rsidRDefault="001B6CA8" w:rsidP="00AC7939">
      <w:pPr>
        <w:pStyle w:val="BlockText"/>
        <w:numPr>
          <w:ilvl w:val="2"/>
          <w:numId w:val="2"/>
        </w:numPr>
        <w:ind w:left="1134" w:right="-57"/>
        <w:jc w:val="both"/>
        <w:rPr>
          <w:szCs w:val="24"/>
        </w:rPr>
      </w:pPr>
      <w:r w:rsidRPr="001B6CA8">
        <w:rPr>
          <w:szCs w:val="24"/>
        </w:rPr>
        <w:t>Konkursa uzvarētāja noteikšanas piemērs</w:t>
      </w:r>
      <w:r w:rsidR="00AC7939">
        <w:rPr>
          <w:szCs w:val="24"/>
        </w:rPr>
        <w:t xml:space="preserve"> (</w:t>
      </w:r>
      <w:r w:rsidR="00F67F1C">
        <w:rPr>
          <w:szCs w:val="24"/>
        </w:rPr>
        <w:t>6</w:t>
      </w:r>
      <w:r w:rsidR="000144B8" w:rsidRPr="003144F2">
        <w:rPr>
          <w:szCs w:val="24"/>
        </w:rPr>
        <w:t>.pielikums)</w:t>
      </w:r>
      <w:r w:rsidR="00F67F1C">
        <w:rPr>
          <w:szCs w:val="24"/>
        </w:rPr>
        <w:t>.</w:t>
      </w:r>
    </w:p>
    <w:p w:rsidR="00D11ADC" w:rsidRPr="003144F2" w:rsidRDefault="00FA453A" w:rsidP="003144F2">
      <w:pPr>
        <w:numPr>
          <w:ilvl w:val="1"/>
          <w:numId w:val="2"/>
        </w:numPr>
        <w:spacing w:before="120" w:after="120"/>
        <w:ind w:left="450" w:hanging="540"/>
        <w:jc w:val="both"/>
        <w:rPr>
          <w:sz w:val="24"/>
          <w:szCs w:val="24"/>
          <w:lang w:eastAsia="en-US"/>
        </w:rPr>
      </w:pPr>
      <w:bookmarkStart w:id="12" w:name="_Ref378149578"/>
      <w:bookmarkEnd w:id="11"/>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C64171">
        <w:rPr>
          <w:color w:val="000000"/>
          <w:sz w:val="24"/>
          <w:szCs w:val="24"/>
        </w:rPr>
        <w:t>9</w:t>
      </w:r>
      <w:r w:rsidRPr="003144F2">
        <w:rPr>
          <w:color w:val="000000"/>
          <w:sz w:val="24"/>
          <w:szCs w:val="24"/>
        </w:rPr>
        <w:t>.gada</w:t>
      </w:r>
      <w:r w:rsidR="00525A9B">
        <w:rPr>
          <w:color w:val="000000"/>
          <w:sz w:val="24"/>
          <w:szCs w:val="24"/>
        </w:rPr>
        <w:t xml:space="preserve"> </w:t>
      </w:r>
      <w:r w:rsidR="00C64171">
        <w:rPr>
          <w:color w:val="000000"/>
          <w:sz w:val="24"/>
          <w:szCs w:val="24"/>
        </w:rPr>
        <w:t>15.janvāra</w:t>
      </w:r>
      <w:r w:rsidR="004752A7">
        <w:rPr>
          <w:color w:val="000000"/>
          <w:sz w:val="24"/>
          <w:szCs w:val="24"/>
        </w:rPr>
        <w:t xml:space="preserve"> </w:t>
      </w:r>
      <w:r w:rsidRPr="003144F2">
        <w:rPr>
          <w:color w:val="000000"/>
          <w:sz w:val="24"/>
          <w:szCs w:val="24"/>
        </w:rPr>
        <w:t>plkst.1</w:t>
      </w:r>
      <w:r w:rsidR="000637C9">
        <w:rPr>
          <w:color w:val="000000"/>
          <w:sz w:val="24"/>
          <w:szCs w:val="24"/>
        </w:rPr>
        <w:t>6</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2"/>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w:t>
      </w:r>
      <w:r w:rsidRPr="003144F2">
        <w:rPr>
          <w:color w:val="000000"/>
          <w:szCs w:val="24"/>
        </w:rPr>
        <w:lastRenderedPageBreak/>
        <w:t>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3" w:name="_Toc312767045"/>
      <w:bookmarkStart w:id="14" w:name="_Toc496711277"/>
      <w:r w:rsidRPr="003144F2">
        <w:rPr>
          <w:sz w:val="28"/>
          <w:szCs w:val="28"/>
        </w:rPr>
        <w:t>PIEDĀVĀJUMA NODROŠINĀJUMS</w:t>
      </w:r>
      <w:bookmarkEnd w:id="13"/>
      <w:bookmarkEnd w:id="14"/>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0637C9">
        <w:rPr>
          <w:color w:val="000000"/>
          <w:szCs w:val="24"/>
        </w:rPr>
        <w:t xml:space="preserve">noteikts </w:t>
      </w:r>
      <w:r w:rsidR="001B6CA8">
        <w:rPr>
          <w:color w:val="000000"/>
          <w:szCs w:val="24"/>
        </w:rPr>
        <w:t>4</w:t>
      </w:r>
      <w:r w:rsidR="00616614" w:rsidRPr="000637C9">
        <w:rPr>
          <w:color w:val="000000"/>
          <w:szCs w:val="24"/>
        </w:rPr>
        <w:t> </w:t>
      </w:r>
      <w:r w:rsidR="00767E13" w:rsidRPr="000637C9">
        <w:rPr>
          <w:color w:val="000000"/>
          <w:szCs w:val="24"/>
        </w:rPr>
        <w:t>0</w:t>
      </w:r>
      <w:r w:rsidR="00616614" w:rsidRPr="000637C9">
        <w:rPr>
          <w:color w:val="000000"/>
          <w:szCs w:val="24"/>
        </w:rPr>
        <w:t>00 EUR (</w:t>
      </w:r>
      <w:r w:rsidR="001B6CA8">
        <w:rPr>
          <w:color w:val="000000"/>
          <w:szCs w:val="24"/>
        </w:rPr>
        <w:t>četri</w:t>
      </w:r>
      <w:r w:rsidR="00616614" w:rsidRPr="000637C9">
        <w:rPr>
          <w:color w:val="000000"/>
          <w:szCs w:val="24"/>
        </w:rPr>
        <w:t xml:space="preserve"> tūksto</w:t>
      </w:r>
      <w:r w:rsidR="00767E13" w:rsidRPr="000637C9">
        <w:rPr>
          <w:color w:val="000000"/>
          <w:szCs w:val="24"/>
        </w:rPr>
        <w:t>ši</w:t>
      </w:r>
      <w:r w:rsidR="00616614" w:rsidRPr="000637C9">
        <w:rPr>
          <w:color w:val="000000"/>
          <w:szCs w:val="24"/>
        </w:rPr>
        <w:t xml:space="preserve"> </w:t>
      </w:r>
      <w:proofErr w:type="spellStart"/>
      <w:r w:rsidR="00616614" w:rsidRPr="000637C9">
        <w:rPr>
          <w:color w:val="000000"/>
          <w:szCs w:val="24"/>
        </w:rPr>
        <w:t>euro</w:t>
      </w:r>
      <w:proofErr w:type="spellEnd"/>
      <w:r w:rsidR="00616614" w:rsidRPr="000637C9">
        <w:rPr>
          <w:color w:val="000000"/>
          <w:szCs w:val="24"/>
        </w:rPr>
        <w:t>)</w:t>
      </w:r>
      <w:r w:rsidRPr="000637C9">
        <w:rPr>
          <w:color w:val="000000"/>
          <w:szCs w:val="24"/>
        </w:rPr>
        <w:t xml:space="preserve"> apmērā</w:t>
      </w:r>
      <w:r w:rsidR="00B630AD" w:rsidRPr="000637C9">
        <w:rPr>
          <w:color w:val="000000"/>
          <w:szCs w:val="24"/>
        </w:rPr>
        <w:t>.</w:t>
      </w:r>
      <w:r w:rsidRPr="000637C9">
        <w:rPr>
          <w:color w:val="000000"/>
          <w:szCs w:val="24"/>
        </w:rPr>
        <w:t xml:space="preserve"> Pretendents piedāvājuma nodrošinājumu</w:t>
      </w:r>
      <w:r w:rsidRPr="003A6812">
        <w:rPr>
          <w:color w:val="000000"/>
          <w:szCs w:val="24"/>
        </w:rPr>
        <w:t xml:space="preserve"> garantē:</w:t>
      </w:r>
    </w:p>
    <w:p w:rsidR="00E06D28" w:rsidRPr="003144F2" w:rsidRDefault="006A6C0A" w:rsidP="006726BC">
      <w:pPr>
        <w:pStyle w:val="BlockText"/>
        <w:numPr>
          <w:ilvl w:val="2"/>
          <w:numId w:val="2"/>
        </w:numPr>
        <w:spacing w:after="120"/>
        <w:ind w:left="1134" w:right="-57"/>
        <w:jc w:val="both"/>
        <w:rPr>
          <w:szCs w:val="24"/>
        </w:rPr>
      </w:pPr>
      <w:r w:rsidRPr="006A6C0A">
        <w:rPr>
          <w:szCs w:val="24"/>
          <w:lang w:eastAsia="lv-LV"/>
        </w:rPr>
        <w:t>iesniedzot</w:t>
      </w:r>
      <w:r w:rsidRPr="006A6C0A">
        <w:rPr>
          <w:color w:val="000000"/>
          <w:szCs w:val="24"/>
          <w:lang w:eastAsia="lv-LV"/>
        </w:rPr>
        <w:t xml:space="preserve"> Pasūtītājam bankas garantiju vai apdrošināšanas polisi, kurā obligāti jānorāda Pasūtītāja nosaukums, iepirkuma nosaukums un tā identifikācijas numurs, piedāvājuma </w:t>
      </w:r>
      <w:r w:rsidRPr="006A6C0A">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510460">
        <w:rPr>
          <w:color w:val="000000"/>
          <w:szCs w:val="24"/>
        </w:rPr>
        <w:t>1</w:t>
      </w:r>
      <w:r w:rsidR="001B6CA8">
        <w:rPr>
          <w:color w:val="000000"/>
          <w:szCs w:val="24"/>
        </w:rPr>
        <w:t>79</w:t>
      </w:r>
      <w:r w:rsidRPr="00F84830">
        <w:rPr>
          <w:color w:val="000000"/>
          <w:szCs w:val="24"/>
        </w:rPr>
        <w:t xml:space="preserve">”.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00D91C53">
        <w:rPr>
          <w:color w:val="000000"/>
          <w:sz w:val="24"/>
          <w:szCs w:val="24"/>
          <w:lang w:eastAsia="en-US"/>
        </w:rPr>
        <w:t>(</w:t>
      </w:r>
      <w:r w:rsidR="00D91C53" w:rsidRPr="00D91C53">
        <w:rPr>
          <w:color w:val="000000"/>
          <w:sz w:val="24"/>
          <w:szCs w:val="24"/>
          <w:lang w:eastAsia="en-US"/>
        </w:rPr>
        <w:t>jāpievieno arī apdrošināšanas polises prēmijas apmaksu apliecinoši dokumenti</w:t>
      </w:r>
      <w:r w:rsidR="00D91C53">
        <w:rPr>
          <w:color w:val="000000"/>
          <w:sz w:val="24"/>
          <w:szCs w:val="24"/>
          <w:lang w:eastAsia="en-US"/>
        </w:rPr>
        <w:t>)</w:t>
      </w:r>
      <w:r w:rsidR="00D91C53" w:rsidRPr="00D91C53">
        <w:rPr>
          <w:color w:val="000000"/>
          <w:sz w:val="24"/>
          <w:szCs w:val="24"/>
          <w:lang w:eastAsia="en-US"/>
        </w:rPr>
        <w:t xml:space="preserv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34170"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424D41">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5"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5"/>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086FCC" w:rsidRPr="00F67F1C" w:rsidRDefault="002F0C42" w:rsidP="00F67F1C">
      <w:pPr>
        <w:pStyle w:val="BlockText"/>
        <w:numPr>
          <w:ilvl w:val="2"/>
          <w:numId w:val="2"/>
        </w:numPr>
        <w:spacing w:after="120"/>
        <w:ind w:left="1134" w:right="-57"/>
        <w:jc w:val="both"/>
        <w:rPr>
          <w:szCs w:val="24"/>
        </w:rPr>
      </w:pPr>
      <w:r w:rsidRPr="002F0C42">
        <w:rPr>
          <w:szCs w:val="24"/>
        </w:rPr>
        <w:lastRenderedPageBreak/>
        <w:t>Iepirkuma procedūras uzvarētājs nenoslēdz iepirkuma līgumu Pasūtītāja noteiktajā termiņā</w:t>
      </w:r>
      <w:r w:rsidR="00522927" w:rsidRPr="003144F2">
        <w:rPr>
          <w:szCs w:val="24"/>
        </w:rPr>
        <w:t>.</w:t>
      </w:r>
    </w:p>
    <w:p w:rsidR="000C1843" w:rsidRPr="003144F2" w:rsidRDefault="00522927" w:rsidP="00F67F1C">
      <w:pPr>
        <w:pStyle w:val="Heading1"/>
        <w:numPr>
          <w:ilvl w:val="0"/>
          <w:numId w:val="2"/>
        </w:numPr>
        <w:overflowPunct w:val="0"/>
        <w:autoSpaceDE w:val="0"/>
        <w:autoSpaceDN w:val="0"/>
        <w:adjustRightInd w:val="0"/>
        <w:spacing w:before="240" w:after="240"/>
        <w:jc w:val="center"/>
        <w:textAlignment w:val="baseline"/>
        <w:rPr>
          <w:sz w:val="28"/>
          <w:szCs w:val="28"/>
        </w:rPr>
      </w:pPr>
      <w:bookmarkStart w:id="16" w:name="_Toc312767046"/>
      <w:bookmarkStart w:id="17" w:name="_Toc496711278"/>
      <w:r w:rsidRPr="003144F2">
        <w:rPr>
          <w:sz w:val="28"/>
          <w:szCs w:val="28"/>
        </w:rPr>
        <w:t>DALĪBAS NOSACĪJUMI IEPIRKUMA PROCEDŪRĀ</w:t>
      </w:r>
      <w:bookmarkStart w:id="18" w:name="_Ref480390550"/>
      <w:bookmarkStart w:id="19" w:name="_Toc241289631"/>
      <w:bookmarkEnd w:id="16"/>
      <w:bookmarkEnd w:id="17"/>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8"/>
    </w:p>
    <w:p w:rsidR="000C1843" w:rsidRPr="003144F2" w:rsidRDefault="002D4372" w:rsidP="006726BC">
      <w:pPr>
        <w:pStyle w:val="BlockText"/>
        <w:numPr>
          <w:ilvl w:val="2"/>
          <w:numId w:val="2"/>
        </w:numPr>
        <w:spacing w:after="120"/>
        <w:ind w:left="1134" w:right="-57"/>
        <w:jc w:val="both"/>
      </w:pPr>
      <w:bookmarkStart w:id="20" w:name="_Ref480390597"/>
      <w:r w:rsidRPr="003144F2">
        <w:t xml:space="preserve">Pretendents vai persona, kura ir pretendenta valdes vai padomes loceklis, </w:t>
      </w:r>
      <w:proofErr w:type="spellStart"/>
      <w:r w:rsidR="00C8483D" w:rsidRPr="003144F2">
        <w:t>pārstāvēttiesīg</w:t>
      </w:r>
      <w:r w:rsidR="00D91C53">
        <w:t>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0"/>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1"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21"/>
    </w:p>
    <w:p w:rsidR="002D4372" w:rsidRPr="003144F2" w:rsidRDefault="002D4372" w:rsidP="006726BC">
      <w:pPr>
        <w:pStyle w:val="BlockText"/>
        <w:numPr>
          <w:ilvl w:val="2"/>
          <w:numId w:val="2"/>
        </w:numPr>
        <w:spacing w:after="120"/>
        <w:ind w:left="1134" w:right="-57"/>
        <w:jc w:val="both"/>
      </w:pPr>
      <w:bookmarkStart w:id="22" w:name="_Ref480390869"/>
      <w:r w:rsidRPr="003144F2">
        <w:t>nav pasludināts Pretendenta maksātnespējas process, apturēta Pretendenta saimnieciskā darbība un netiek veikta pretendenta likvidācija;</w:t>
      </w:r>
      <w:bookmarkEnd w:id="22"/>
    </w:p>
    <w:p w:rsidR="002D4372" w:rsidRPr="003144F2" w:rsidRDefault="002D4372" w:rsidP="006726BC">
      <w:pPr>
        <w:pStyle w:val="BlockText"/>
        <w:numPr>
          <w:ilvl w:val="2"/>
          <w:numId w:val="2"/>
        </w:numPr>
        <w:spacing w:after="120"/>
        <w:ind w:left="1134" w:right="-57"/>
        <w:jc w:val="both"/>
      </w:pPr>
      <w:bookmarkStart w:id="23"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3"/>
    </w:p>
    <w:p w:rsidR="002D4372" w:rsidRPr="003144F2" w:rsidRDefault="002D4372" w:rsidP="006726BC">
      <w:pPr>
        <w:pStyle w:val="BlockText"/>
        <w:numPr>
          <w:ilvl w:val="2"/>
          <w:numId w:val="2"/>
        </w:numPr>
        <w:spacing w:after="120"/>
        <w:ind w:left="1134" w:right="-57"/>
        <w:jc w:val="both"/>
      </w:pPr>
      <w:bookmarkStart w:id="24"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w:t>
      </w:r>
      <w:r w:rsidRPr="003144F2">
        <w:lastRenderedPageBreak/>
        <w:t xml:space="preserve">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4"/>
    </w:p>
    <w:p w:rsidR="00C71F65" w:rsidRPr="003144F2" w:rsidRDefault="002D4372" w:rsidP="006726BC">
      <w:pPr>
        <w:pStyle w:val="BlockText"/>
        <w:numPr>
          <w:ilvl w:val="2"/>
          <w:numId w:val="2"/>
        </w:numPr>
        <w:spacing w:after="120"/>
        <w:ind w:left="1134" w:right="-57"/>
        <w:jc w:val="both"/>
        <w:rPr>
          <w:color w:val="000000"/>
          <w:szCs w:val="24"/>
        </w:rPr>
      </w:pPr>
      <w:bookmarkStart w:id="25"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6" w:name="_Ref480390897"/>
      <w:bookmarkEnd w:id="25"/>
    </w:p>
    <w:p w:rsidR="002D4372" w:rsidRPr="003144F2" w:rsidRDefault="002D4372" w:rsidP="006726BC">
      <w:pPr>
        <w:pStyle w:val="BlockText"/>
        <w:numPr>
          <w:ilvl w:val="2"/>
          <w:numId w:val="2"/>
        </w:numPr>
        <w:spacing w:after="120"/>
        <w:ind w:left="1134" w:right="-57"/>
        <w:jc w:val="both"/>
        <w:rPr>
          <w:szCs w:val="24"/>
        </w:rPr>
      </w:pPr>
      <w:bookmarkStart w:id="27"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6"/>
      <w:bookmarkEnd w:id="27"/>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8"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8"/>
    </w:p>
    <w:p w:rsidR="002D4372" w:rsidRPr="003144F2" w:rsidRDefault="002D4372" w:rsidP="006726BC">
      <w:pPr>
        <w:pStyle w:val="BlockText"/>
        <w:numPr>
          <w:ilvl w:val="2"/>
          <w:numId w:val="2"/>
        </w:numPr>
        <w:spacing w:after="120"/>
        <w:ind w:left="1134" w:right="-57"/>
        <w:jc w:val="both"/>
        <w:rPr>
          <w:color w:val="000000"/>
          <w:szCs w:val="24"/>
        </w:rPr>
      </w:pPr>
      <w:bookmarkStart w:id="29"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9"/>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424D41">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424D41">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lastRenderedPageBreak/>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424D41">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424D41">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424D41">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424D41">
        <w:t>5</w:t>
      </w:r>
      <w:r w:rsidRPr="003144F2">
        <w:fldChar w:fldCharType="end"/>
      </w:r>
      <w:r w:rsidRPr="003144F2">
        <w:t>.punkta apakšpunktos noteiktajiem dalības nosacījumiem iepirkuma procedūrā.</w:t>
      </w:r>
    </w:p>
    <w:p w:rsidR="000C1843" w:rsidRPr="003144F2" w:rsidRDefault="00251EEF"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0" w:name="_Toc496711279"/>
      <w:r w:rsidRPr="003144F2">
        <w:rPr>
          <w:sz w:val="28"/>
          <w:szCs w:val="28"/>
        </w:rPr>
        <w:t>UZTICAMĪBAS NODROŠINĀŠANAI IESNIEGTO PIERĀDĪJUMU VĒRTĒŠANA</w:t>
      </w:r>
      <w:bookmarkEnd w:id="30"/>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424D41">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424D41">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424D41">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424D41">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424D41">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424D41">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424D41">
        <w:t>5.1.9</w:t>
      </w:r>
      <w:r w:rsidRPr="003144F2">
        <w:fldChar w:fldCharType="end"/>
      </w:r>
      <w:r w:rsidRPr="003144F2">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424D41">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424D41">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424D41">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424D41">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424D41">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424D41">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424D41">
        <w:t>5.1.9</w:t>
      </w:r>
      <w:r w:rsidRPr="003144F2">
        <w:fldChar w:fldCharType="end"/>
      </w:r>
      <w:r w:rsidR="008279F3" w:rsidRPr="003144F2">
        <w:t>.</w:t>
      </w:r>
      <w:r w:rsidRPr="003144F2">
        <w:t xml:space="preserve"> apakšpunktā minētajam izslēgšanas gadījumam.</w:t>
      </w:r>
    </w:p>
    <w:p w:rsidR="002D4372" w:rsidRPr="003144F2" w:rsidRDefault="002F0C42" w:rsidP="006726BC">
      <w:pPr>
        <w:pStyle w:val="BlockText"/>
        <w:numPr>
          <w:ilvl w:val="1"/>
          <w:numId w:val="2"/>
        </w:numPr>
        <w:spacing w:after="120"/>
        <w:ind w:left="426" w:right="-57"/>
        <w:jc w:val="both"/>
      </w:pPr>
      <w:r w:rsidRPr="002F0C42">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 </w:t>
      </w:r>
      <w:r w:rsidRPr="002F0C42">
        <w:rPr>
          <w:iCs/>
        </w:rPr>
        <w:t>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r w:rsidR="002D4372" w:rsidRPr="003144F2">
        <w:t>.</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1" w:name="_Toc312767047"/>
      <w:bookmarkStart w:id="32" w:name="_Toc496711280"/>
      <w:r w:rsidRPr="003144F2">
        <w:rPr>
          <w:sz w:val="28"/>
          <w:szCs w:val="28"/>
        </w:rPr>
        <w:t>KVALIFIKĀCIJAS PRASĪBAS</w:t>
      </w:r>
      <w:bookmarkEnd w:id="31"/>
      <w:bookmarkEnd w:id="32"/>
    </w:p>
    <w:p w:rsidR="00CF7106" w:rsidRPr="003144F2" w:rsidRDefault="009F6D6B" w:rsidP="006726BC">
      <w:pPr>
        <w:pStyle w:val="BlockText"/>
        <w:numPr>
          <w:ilvl w:val="1"/>
          <w:numId w:val="2"/>
        </w:numPr>
        <w:spacing w:after="120"/>
        <w:ind w:left="426" w:right="-57"/>
        <w:jc w:val="both"/>
        <w:rPr>
          <w:sz w:val="28"/>
          <w:szCs w:val="28"/>
        </w:rPr>
      </w:pPr>
      <w:r w:rsidRPr="009F6D6B">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w:t>
      </w:r>
      <w:r w:rsidRPr="009F6D6B">
        <w:rPr>
          <w:szCs w:val="24"/>
        </w:rPr>
        <w:lastRenderedPageBreak/>
        <w:t>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0476BE" w:rsidRPr="003144F2"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3144F2">
        <w:rPr>
          <w:szCs w:val="24"/>
        </w:rPr>
        <w:t xml:space="preserve">Pretendenta vidējam finanšu </w:t>
      </w:r>
      <w:r w:rsidRPr="007F0033">
        <w:rPr>
          <w:szCs w:val="24"/>
        </w:rPr>
        <w:t xml:space="preserve">apgrozījumam pēdējo </w:t>
      </w:r>
      <w:r w:rsidR="0040347D" w:rsidRPr="007F0033">
        <w:rPr>
          <w:szCs w:val="24"/>
        </w:rPr>
        <w:t xml:space="preserve">3 (trīs) </w:t>
      </w:r>
      <w:r w:rsidRPr="007F0033">
        <w:rPr>
          <w:szCs w:val="24"/>
        </w:rPr>
        <w:t xml:space="preserve">gadu laikā </w:t>
      </w:r>
      <w:r w:rsidR="004752A7" w:rsidRPr="007F0033">
        <w:rPr>
          <w:szCs w:val="24"/>
        </w:rPr>
        <w:t>(2015</w:t>
      </w:r>
      <w:r w:rsidR="00CF7106" w:rsidRPr="007F0033">
        <w:rPr>
          <w:szCs w:val="24"/>
        </w:rPr>
        <w:t>.</w:t>
      </w:r>
      <w:r w:rsidR="007C2239" w:rsidRPr="007F0033">
        <w:rPr>
          <w:szCs w:val="24"/>
        </w:rPr>
        <w:t xml:space="preserve"> - </w:t>
      </w:r>
      <w:r w:rsidR="004752A7" w:rsidRPr="007F0033">
        <w:rPr>
          <w:szCs w:val="24"/>
        </w:rPr>
        <w:t>2018</w:t>
      </w:r>
      <w:r w:rsidR="000144B8" w:rsidRPr="007F0033">
        <w:rPr>
          <w:szCs w:val="24"/>
        </w:rPr>
        <w:t>.gads</w:t>
      </w:r>
      <w:r w:rsidR="00CF7106" w:rsidRPr="007F0033">
        <w:rPr>
          <w:szCs w:val="24"/>
        </w:rPr>
        <w:t>)</w:t>
      </w:r>
      <w:r w:rsidRPr="007F0033">
        <w:rPr>
          <w:szCs w:val="24"/>
        </w:rPr>
        <w:t xml:space="preserve"> jābūt</w:t>
      </w:r>
      <w:r w:rsidR="009C42C2" w:rsidRPr="007F0033">
        <w:rPr>
          <w:szCs w:val="24"/>
        </w:rPr>
        <w:t xml:space="preserve"> </w:t>
      </w:r>
      <w:r w:rsidR="009C42C2" w:rsidRPr="000637C9">
        <w:rPr>
          <w:szCs w:val="24"/>
        </w:rPr>
        <w:t xml:space="preserve">vismaz </w:t>
      </w:r>
      <w:r w:rsidR="001B6CA8">
        <w:rPr>
          <w:rFonts w:cs="Arial"/>
          <w:szCs w:val="24"/>
        </w:rPr>
        <w:t>1</w:t>
      </w:r>
      <w:r w:rsidR="000637C9" w:rsidRPr="000637C9">
        <w:rPr>
          <w:rFonts w:cs="Arial"/>
          <w:szCs w:val="24"/>
        </w:rPr>
        <w:t xml:space="preserve"> 0</w:t>
      </w:r>
      <w:r w:rsidR="00F67F1C">
        <w:rPr>
          <w:rFonts w:cs="Arial"/>
          <w:szCs w:val="24"/>
        </w:rPr>
        <w:t>0</w:t>
      </w:r>
      <w:r w:rsidR="000637C9" w:rsidRPr="000637C9">
        <w:rPr>
          <w:rFonts w:cs="Arial"/>
          <w:szCs w:val="24"/>
        </w:rPr>
        <w:t>0 000 EUR (</w:t>
      </w:r>
      <w:r w:rsidR="001B6CA8">
        <w:rPr>
          <w:rFonts w:cs="Arial"/>
          <w:szCs w:val="24"/>
        </w:rPr>
        <w:t>viens</w:t>
      </w:r>
      <w:r w:rsidR="000637C9" w:rsidRPr="000637C9">
        <w:rPr>
          <w:rFonts w:cs="Arial"/>
          <w:szCs w:val="24"/>
        </w:rPr>
        <w:t xml:space="preserve"> miljon</w:t>
      </w:r>
      <w:r w:rsidR="001B6CA8">
        <w:rPr>
          <w:rFonts w:cs="Arial"/>
          <w:szCs w:val="24"/>
        </w:rPr>
        <w:t>s</w:t>
      </w:r>
      <w:r w:rsidR="000637C9" w:rsidRPr="000637C9">
        <w:rPr>
          <w:rFonts w:cs="Arial"/>
          <w:szCs w:val="24"/>
        </w:rPr>
        <w:t xml:space="preserve"> </w:t>
      </w:r>
      <w:proofErr w:type="spellStart"/>
      <w:r w:rsidR="000637C9" w:rsidRPr="000637C9">
        <w:rPr>
          <w:rFonts w:cs="Arial"/>
          <w:szCs w:val="24"/>
        </w:rPr>
        <w:t>euro</w:t>
      </w:r>
      <w:proofErr w:type="spellEnd"/>
      <w:r w:rsidR="00465EC4" w:rsidRPr="000637C9">
        <w:rPr>
          <w:rFonts w:cs="Arial"/>
          <w:szCs w:val="24"/>
        </w:rPr>
        <w:t>)</w:t>
      </w:r>
      <w:r w:rsidR="008E19A5" w:rsidRPr="000637C9">
        <w:rPr>
          <w:szCs w:val="24"/>
        </w:rPr>
        <w:t xml:space="preserve"> gadā, neskaitot PVN.</w:t>
      </w:r>
      <w:bookmarkEnd w:id="33"/>
      <w:r w:rsidR="00CE5EEA" w:rsidRPr="000637C9">
        <w:rPr>
          <w:szCs w:val="24"/>
        </w:rPr>
        <w:t xml:space="preserve"> Ja piedāvājumu</w:t>
      </w:r>
      <w:r w:rsidR="00CE5EEA" w:rsidRPr="007F0033">
        <w:rPr>
          <w:szCs w:val="24"/>
        </w:rPr>
        <w:t xml:space="preserve"> iesniedz personu apvienība, tad Pretendentam noteikto finanšu apgrozījumu var</w:t>
      </w:r>
      <w:r w:rsidR="00CE5EEA" w:rsidRPr="003144F2">
        <w:rPr>
          <w:szCs w:val="24"/>
        </w:rPr>
        <w:t xml:space="preserve"> apliecināt jebkurš personu apvienības dalībnieks vai vairāki dalībnieki kopā</w:t>
      </w:r>
      <w:r w:rsidR="004804AA" w:rsidRPr="003144F2">
        <w:rPr>
          <w:szCs w:val="24"/>
        </w:rPr>
        <w:t>.</w:t>
      </w:r>
      <w:r w:rsidR="007A675F" w:rsidRPr="003144F2">
        <w:rPr>
          <w:szCs w:val="24"/>
        </w:rPr>
        <w:t xml:space="preserve"> </w:t>
      </w:r>
    </w:p>
    <w:p w:rsidR="00EA0671" w:rsidRPr="003144F2" w:rsidRDefault="007A675F" w:rsidP="00891AF9">
      <w:pPr>
        <w:pStyle w:val="BlockText"/>
        <w:spacing w:after="120"/>
        <w:ind w:left="426" w:right="-57"/>
        <w:jc w:val="both"/>
        <w:rPr>
          <w:szCs w:val="24"/>
        </w:rPr>
      </w:pPr>
      <w:r w:rsidRPr="003144F2">
        <w:rPr>
          <w:szCs w:val="24"/>
        </w:rPr>
        <w:t xml:space="preserve">Pretendentiem, kas dibināti vēlāk nekā pirms 3 (trīs) gadiem, nostrādātajā laika periodā </w:t>
      </w:r>
      <w:r w:rsidRPr="00F84830">
        <w:rPr>
          <w:szCs w:val="24"/>
        </w:rPr>
        <w:t xml:space="preserve">vidējam finanšu apgrozījumam ir jābūt </w:t>
      </w:r>
      <w:r w:rsidRPr="000637C9">
        <w:rPr>
          <w:szCs w:val="24"/>
        </w:rPr>
        <w:t xml:space="preserve">vismaz </w:t>
      </w:r>
      <w:r w:rsidR="001B6CA8">
        <w:rPr>
          <w:rFonts w:cs="Arial"/>
          <w:szCs w:val="24"/>
        </w:rPr>
        <w:t>1</w:t>
      </w:r>
      <w:r w:rsidR="000637C9" w:rsidRPr="000637C9">
        <w:rPr>
          <w:rFonts w:cs="Arial"/>
          <w:szCs w:val="24"/>
        </w:rPr>
        <w:t xml:space="preserve"> </w:t>
      </w:r>
      <w:r w:rsidR="00510460">
        <w:rPr>
          <w:rFonts w:cs="Arial"/>
          <w:szCs w:val="24"/>
        </w:rPr>
        <w:t>0</w:t>
      </w:r>
      <w:r w:rsidR="000637C9" w:rsidRPr="000637C9">
        <w:rPr>
          <w:rFonts w:cs="Arial"/>
          <w:szCs w:val="24"/>
        </w:rPr>
        <w:t>00 000 EUR (</w:t>
      </w:r>
      <w:r w:rsidR="001B6CA8">
        <w:rPr>
          <w:rFonts w:cs="Arial"/>
          <w:szCs w:val="24"/>
        </w:rPr>
        <w:t>viens</w:t>
      </w:r>
      <w:r w:rsidR="000637C9" w:rsidRPr="000637C9">
        <w:rPr>
          <w:rFonts w:cs="Arial"/>
          <w:szCs w:val="24"/>
        </w:rPr>
        <w:t xml:space="preserve"> miljon</w:t>
      </w:r>
      <w:r w:rsidR="001B6CA8">
        <w:rPr>
          <w:rFonts w:cs="Arial"/>
          <w:szCs w:val="24"/>
        </w:rPr>
        <w:t>s</w:t>
      </w:r>
      <w:r w:rsidR="000637C9" w:rsidRPr="000637C9">
        <w:rPr>
          <w:rFonts w:cs="Arial"/>
          <w:szCs w:val="24"/>
        </w:rPr>
        <w:t xml:space="preserve"> </w:t>
      </w:r>
      <w:proofErr w:type="spellStart"/>
      <w:r w:rsidR="000637C9" w:rsidRPr="000637C9">
        <w:rPr>
          <w:rFonts w:cs="Arial"/>
          <w:szCs w:val="24"/>
        </w:rPr>
        <w:t>euro</w:t>
      </w:r>
      <w:proofErr w:type="spellEnd"/>
      <w:r w:rsidR="00EA4B0F" w:rsidRPr="000637C9">
        <w:rPr>
          <w:rFonts w:cs="Arial"/>
          <w:szCs w:val="24"/>
        </w:rPr>
        <w:t>)</w:t>
      </w:r>
      <w:r w:rsidRPr="000637C9">
        <w:rPr>
          <w:szCs w:val="24"/>
        </w:rPr>
        <w:t xml:space="preserve"> gadā, neskaitot PVN.</w:t>
      </w:r>
      <w:bookmarkEnd w:id="34"/>
    </w:p>
    <w:p w:rsidR="00222737" w:rsidRPr="00C64171" w:rsidRDefault="00222737" w:rsidP="006726BC">
      <w:pPr>
        <w:pStyle w:val="BlockText"/>
        <w:numPr>
          <w:ilvl w:val="1"/>
          <w:numId w:val="2"/>
        </w:numPr>
        <w:spacing w:after="120"/>
        <w:ind w:left="426" w:right="-57"/>
        <w:jc w:val="both"/>
        <w:rPr>
          <w:color w:val="000000"/>
          <w:szCs w:val="24"/>
        </w:rPr>
      </w:pPr>
      <w:bookmarkStart w:id="35" w:name="_Ref384822141"/>
      <w:r w:rsidRPr="003144F2">
        <w:rPr>
          <w:szCs w:val="24"/>
        </w:rPr>
        <w:t>Pretendentam jābūt</w:t>
      </w:r>
      <w:r w:rsidR="000D0196" w:rsidRPr="003144F2">
        <w:rPr>
          <w:szCs w:val="24"/>
        </w:rPr>
        <w:t xml:space="preserve"> Iepirkuma priekšmetam</w:t>
      </w:r>
      <w:r w:rsidRPr="003144F2">
        <w:rPr>
          <w:color w:val="000000"/>
          <w:szCs w:val="24"/>
        </w:rPr>
        <w:t xml:space="preserve"> atbilstošai </w:t>
      </w:r>
      <w:r w:rsidR="00B20E00">
        <w:rPr>
          <w:color w:val="000000"/>
          <w:szCs w:val="24"/>
        </w:rPr>
        <w:t xml:space="preserve">pieredzei – </w:t>
      </w:r>
      <w:r w:rsidR="009F6D6B">
        <w:rPr>
          <w:color w:val="000000"/>
          <w:szCs w:val="24"/>
        </w:rPr>
        <w:t>iepriekšējo</w:t>
      </w:r>
      <w:r w:rsidRPr="003144F2">
        <w:rPr>
          <w:color w:val="000000"/>
          <w:szCs w:val="24"/>
        </w:rPr>
        <w:t xml:space="preserve"> </w:t>
      </w:r>
      <w:r w:rsidR="00EF5F56">
        <w:rPr>
          <w:color w:val="000000"/>
          <w:szCs w:val="24"/>
        </w:rPr>
        <w:t>3</w:t>
      </w:r>
      <w:r w:rsidRPr="003144F2">
        <w:rPr>
          <w:color w:val="000000"/>
          <w:szCs w:val="24"/>
        </w:rPr>
        <w:t xml:space="preserve"> (</w:t>
      </w:r>
      <w:r w:rsidR="00EF5F56">
        <w:rPr>
          <w:color w:val="000000"/>
          <w:szCs w:val="24"/>
        </w:rPr>
        <w:t>trīs</w:t>
      </w:r>
      <w:r w:rsidRPr="003144F2">
        <w:rPr>
          <w:color w:val="000000"/>
          <w:szCs w:val="24"/>
        </w:rPr>
        <w:t xml:space="preserve">) gadu laikā </w:t>
      </w:r>
      <w:r w:rsidR="004752A7">
        <w:rPr>
          <w:color w:val="000000"/>
          <w:szCs w:val="24"/>
        </w:rPr>
        <w:t>(</w:t>
      </w:r>
      <w:r w:rsidR="001E5324" w:rsidRPr="00834948">
        <w:rPr>
          <w:rFonts w:eastAsia="Calibri"/>
          <w:szCs w:val="24"/>
        </w:rPr>
        <w:t>201</w:t>
      </w:r>
      <w:r w:rsidR="00EF5F56">
        <w:rPr>
          <w:rFonts w:eastAsia="Calibri"/>
          <w:szCs w:val="24"/>
        </w:rPr>
        <w:t>5</w:t>
      </w:r>
      <w:r w:rsidR="001E5324" w:rsidRPr="00834948">
        <w:rPr>
          <w:rFonts w:eastAsia="Calibri"/>
          <w:szCs w:val="24"/>
        </w:rPr>
        <w:t xml:space="preserve">. - </w:t>
      </w:r>
      <w:r w:rsidR="001E5324" w:rsidRPr="001E5324">
        <w:rPr>
          <w:rFonts w:eastAsia="Calibri"/>
          <w:szCs w:val="24"/>
        </w:rPr>
        <w:t xml:space="preserve">2018.gadā </w:t>
      </w:r>
      <w:r w:rsidR="001E5324" w:rsidRPr="00C64171">
        <w:rPr>
          <w:rFonts w:eastAsia="Calibri"/>
          <w:szCs w:val="24"/>
        </w:rPr>
        <w:t>līdz piedāvājumu iesniegšanas termiņa beigām</w:t>
      </w:r>
      <w:r w:rsidRPr="00C64171">
        <w:rPr>
          <w:szCs w:val="24"/>
        </w:rPr>
        <w:t>) jābūt</w:t>
      </w:r>
      <w:r w:rsidR="00EF5F56" w:rsidRPr="00C64171">
        <w:rPr>
          <w:szCs w:val="24"/>
        </w:rPr>
        <w:t xml:space="preserve"> veiktiem sekojošiem darbiem</w:t>
      </w:r>
      <w:r w:rsidRPr="00C64171">
        <w:rPr>
          <w:color w:val="000000"/>
          <w:szCs w:val="24"/>
        </w:rPr>
        <w:t>:</w:t>
      </w:r>
      <w:bookmarkEnd w:id="35"/>
    </w:p>
    <w:p w:rsidR="00EA4B0F" w:rsidRPr="00C64171" w:rsidRDefault="0077285C" w:rsidP="00EA4B0F">
      <w:pPr>
        <w:pStyle w:val="BlockText"/>
        <w:numPr>
          <w:ilvl w:val="2"/>
          <w:numId w:val="2"/>
        </w:numPr>
        <w:spacing w:after="120"/>
        <w:ind w:left="1134" w:right="-57"/>
        <w:jc w:val="both"/>
        <w:rPr>
          <w:szCs w:val="24"/>
        </w:rPr>
      </w:pPr>
      <w:bookmarkStart w:id="36" w:name="_Ref312784355"/>
      <w:r w:rsidRPr="00C64171">
        <w:rPr>
          <w:szCs w:val="24"/>
          <w:lang w:eastAsia="lv-LV"/>
        </w:rPr>
        <w:t>Pretendents ir izpildījis vismaz 2 (divus) līgumus, kuru ietvaros Pretendents veicis kuģu ceļu vai ostas akvatorija padziļināšanas darbus un katra līguma ietvaros izsmeltās grunts apjoms bijis vismaz 100’000 m</w:t>
      </w:r>
      <w:r w:rsidRPr="00C64171">
        <w:rPr>
          <w:szCs w:val="24"/>
          <w:vertAlign w:val="superscript"/>
          <w:lang w:eastAsia="lv-LV"/>
        </w:rPr>
        <w:t>3</w:t>
      </w:r>
      <w:r w:rsidR="00EF5F56" w:rsidRPr="00C64171">
        <w:rPr>
          <w:szCs w:val="24"/>
        </w:rPr>
        <w:t>.</w:t>
      </w:r>
    </w:p>
    <w:p w:rsidR="001E5324" w:rsidRPr="001E5324" w:rsidRDefault="001E5324" w:rsidP="001E5324">
      <w:pPr>
        <w:pStyle w:val="BlockText"/>
        <w:spacing w:after="120"/>
        <w:ind w:left="414" w:right="-57"/>
        <w:jc w:val="both"/>
        <w:rPr>
          <w:szCs w:val="24"/>
        </w:rPr>
      </w:pPr>
      <w:r w:rsidRPr="00C64171">
        <w:rPr>
          <w:rFonts w:eastAsia="Calibri"/>
          <w:szCs w:val="24"/>
        </w:rPr>
        <w:t>Ja piedāvājumu iesniedz personu apvienība, tad Pretendentam noteikto pieredzi var apliecināt jebkurš personu apvienības dalībnieks.</w:t>
      </w:r>
    </w:p>
    <w:bookmarkEnd w:id="36"/>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37"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37"/>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9F6D6B" w:rsidP="006726BC">
      <w:pPr>
        <w:pStyle w:val="BlockText"/>
        <w:numPr>
          <w:ilvl w:val="1"/>
          <w:numId w:val="2"/>
        </w:numPr>
        <w:spacing w:after="120"/>
        <w:ind w:left="426" w:right="-57"/>
        <w:jc w:val="both"/>
        <w:rPr>
          <w:szCs w:val="24"/>
        </w:rPr>
      </w:pPr>
      <w:r w:rsidRPr="009F6D6B">
        <w:rPr>
          <w:color w:val="000000"/>
          <w:szCs w:val="24"/>
        </w:rPr>
        <w:t xml:space="preserve">Pretendents ir tiesīgs iesniegt Eiropas vienoto iepirkuma procedūras dokumentu (veidlapa pieejama </w:t>
      </w:r>
      <w:hyperlink r:id="rId17" w:history="1">
        <w:r w:rsidRPr="009F6D6B">
          <w:rPr>
            <w:rStyle w:val="Hyperlink"/>
            <w:szCs w:val="24"/>
          </w:rPr>
          <w:t>https://ec.europa.eu/tools/espd/filter</w:t>
        </w:r>
      </w:hyperlink>
      <w:r w:rsidRPr="009F6D6B">
        <w:rPr>
          <w:color w:val="000000"/>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procenti no iepirkuma līguma vērtības. Piegādātāju apvienība iesniedz atsevišķu Eiropas vienoto iepirkuma procedūras dokumentu par katru tās dalībnieku</w:t>
      </w:r>
      <w:r w:rsidR="00097B4E" w:rsidRPr="003144F2">
        <w:rPr>
          <w:szCs w:val="24"/>
        </w:rPr>
        <w:t>.</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38" w:name="_Toc312767049"/>
      <w:bookmarkStart w:id="39" w:name="_Toc496711282"/>
      <w:r w:rsidRPr="003144F2">
        <w:rPr>
          <w:sz w:val="28"/>
          <w:szCs w:val="28"/>
        </w:rPr>
        <w:lastRenderedPageBreak/>
        <w:t>IESNIEDZAMIE DOKUMENTI</w:t>
      </w:r>
      <w:bookmarkEnd w:id="38"/>
      <w:bookmarkEnd w:id="39"/>
      <w:r w:rsidRPr="003144F2">
        <w:rPr>
          <w:sz w:val="28"/>
          <w:szCs w:val="28"/>
        </w:rPr>
        <w:t xml:space="preserve"> </w:t>
      </w:r>
      <w:bookmarkStart w:id="40" w:name="_Ref312784564"/>
    </w:p>
    <w:p w:rsidR="00522927" w:rsidRPr="003144F2" w:rsidRDefault="00522927" w:rsidP="006726BC">
      <w:pPr>
        <w:pStyle w:val="BlockText"/>
        <w:numPr>
          <w:ilvl w:val="1"/>
          <w:numId w:val="2"/>
        </w:numPr>
        <w:spacing w:after="120"/>
        <w:ind w:left="426" w:right="-57"/>
        <w:jc w:val="both"/>
        <w:rPr>
          <w:sz w:val="28"/>
          <w:szCs w:val="28"/>
        </w:rPr>
      </w:pPr>
      <w:bookmarkStart w:id="41"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0"/>
      <w:bookmarkEnd w:id="41"/>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2" w:name="_Izziņa,_ko_ne_agrāk_kā_sešus_mēnešu"/>
      <w:bookmarkEnd w:id="42"/>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AC7939">
        <w:rPr>
          <w:szCs w:val="24"/>
        </w:rPr>
        <w:t>2</w:t>
      </w:r>
      <w:r w:rsidR="00F33F9E" w:rsidRPr="003144F2">
        <w:rPr>
          <w:szCs w:val="24"/>
        </w:rPr>
        <w:t>.pielikuma</w:t>
      </w:r>
      <w:r w:rsidR="00E47C2F" w:rsidRPr="003144F2">
        <w:rPr>
          <w:szCs w:val="24"/>
        </w:rPr>
        <w:t xml:space="preserve">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3" w:name="_Toc312767050"/>
      <w:bookmarkStart w:id="44" w:name="_Toc496711283"/>
      <w:r w:rsidRPr="003144F2">
        <w:rPr>
          <w:sz w:val="28"/>
          <w:szCs w:val="28"/>
        </w:rPr>
        <w:t>PRETENDENTU ATLASES DOKUMENTI</w:t>
      </w:r>
      <w:bookmarkEnd w:id="43"/>
      <w:bookmarkEnd w:id="44"/>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424D41">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424D41">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424D41">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424D41">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424D41">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424D41">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0637C9"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w:t>
      </w:r>
      <w:r w:rsidR="00686EEE" w:rsidRPr="000637C9">
        <w:rPr>
          <w:color w:val="000000"/>
          <w:szCs w:val="24"/>
        </w:rPr>
        <w:t xml:space="preserve">finanšu apgrozījums </w:t>
      </w:r>
      <w:r w:rsidR="009F6D6B">
        <w:rPr>
          <w:color w:val="000000"/>
          <w:szCs w:val="24"/>
        </w:rPr>
        <w:t xml:space="preserve">iepriekšējo </w:t>
      </w:r>
      <w:r w:rsidR="00686EEE" w:rsidRPr="000637C9">
        <w:rPr>
          <w:color w:val="000000"/>
          <w:szCs w:val="24"/>
        </w:rPr>
        <w:t xml:space="preserve">3 (trīs) gadu laikā </w:t>
      </w:r>
      <w:r w:rsidR="004752A7" w:rsidRPr="000637C9">
        <w:rPr>
          <w:color w:val="000000"/>
          <w:szCs w:val="24"/>
        </w:rPr>
        <w:t>(2015</w:t>
      </w:r>
      <w:r w:rsidR="00092E77" w:rsidRPr="000637C9">
        <w:rPr>
          <w:color w:val="000000"/>
          <w:szCs w:val="24"/>
        </w:rPr>
        <w:t>. - 20</w:t>
      </w:r>
      <w:r w:rsidR="009C42C2" w:rsidRPr="000637C9">
        <w:rPr>
          <w:color w:val="000000"/>
          <w:szCs w:val="24"/>
        </w:rPr>
        <w:t>1</w:t>
      </w:r>
      <w:r w:rsidR="000148FD" w:rsidRPr="000637C9">
        <w:rPr>
          <w:color w:val="000000"/>
          <w:szCs w:val="24"/>
        </w:rPr>
        <w:t>8</w:t>
      </w:r>
      <w:r w:rsidR="00092E77" w:rsidRPr="000637C9">
        <w:rPr>
          <w:color w:val="000000"/>
          <w:szCs w:val="24"/>
        </w:rPr>
        <w:t>.gads) ir vismaz</w:t>
      </w:r>
      <w:r w:rsidR="001B6CA8">
        <w:rPr>
          <w:color w:val="000000"/>
          <w:szCs w:val="24"/>
        </w:rPr>
        <w:t xml:space="preserve"> 1</w:t>
      </w:r>
      <w:r w:rsidR="001B6CA8">
        <w:rPr>
          <w:rFonts w:cs="Arial"/>
          <w:szCs w:val="24"/>
        </w:rPr>
        <w:t xml:space="preserve"> </w:t>
      </w:r>
      <w:r w:rsidR="00510460">
        <w:rPr>
          <w:rFonts w:cs="Arial"/>
          <w:szCs w:val="24"/>
        </w:rPr>
        <w:t>0</w:t>
      </w:r>
      <w:r w:rsidR="000637C9" w:rsidRPr="000637C9">
        <w:rPr>
          <w:rFonts w:cs="Arial"/>
          <w:szCs w:val="24"/>
        </w:rPr>
        <w:t>00 000 EUR (</w:t>
      </w:r>
      <w:r w:rsidR="001B6CA8">
        <w:rPr>
          <w:rFonts w:cs="Arial"/>
          <w:szCs w:val="24"/>
        </w:rPr>
        <w:t>viens</w:t>
      </w:r>
      <w:r w:rsidR="000637C9" w:rsidRPr="000637C9">
        <w:rPr>
          <w:rFonts w:cs="Arial"/>
          <w:szCs w:val="24"/>
        </w:rPr>
        <w:t xml:space="preserve"> miljon</w:t>
      </w:r>
      <w:r w:rsidR="001B6CA8">
        <w:rPr>
          <w:rFonts w:cs="Arial"/>
          <w:szCs w:val="24"/>
        </w:rPr>
        <w:t>s</w:t>
      </w:r>
      <w:r w:rsidR="000637C9" w:rsidRPr="000637C9">
        <w:rPr>
          <w:rFonts w:cs="Arial"/>
          <w:szCs w:val="24"/>
        </w:rPr>
        <w:t xml:space="preserve"> </w:t>
      </w:r>
      <w:proofErr w:type="spellStart"/>
      <w:r w:rsidR="000637C9" w:rsidRPr="000637C9">
        <w:rPr>
          <w:rFonts w:cs="Arial"/>
          <w:szCs w:val="24"/>
        </w:rPr>
        <w:t>euro</w:t>
      </w:r>
      <w:proofErr w:type="spellEnd"/>
      <w:r w:rsidR="008A6357" w:rsidRPr="000637C9">
        <w:rPr>
          <w:rFonts w:cs="Arial"/>
          <w:szCs w:val="24"/>
        </w:rPr>
        <w:t>)</w:t>
      </w:r>
      <w:r w:rsidR="00322E9C" w:rsidRPr="000637C9">
        <w:t xml:space="preserve"> </w:t>
      </w:r>
      <w:r w:rsidR="00092E77" w:rsidRPr="000637C9">
        <w:t>gadā, neskaitot PVN.</w:t>
      </w:r>
    </w:p>
    <w:p w:rsidR="00522927"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Ja piedāvājumu iesniedz personu apvienība, tad Pretendentam noteikto finanšu apgrozījumu 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Pretendentiem, kas dibināti vēlāk nekā pirms 3 (trīs) gadiem, nostrādātajā laika periodā vidējam finanšu apgrozījumam ir jābūt vismaz </w:t>
      </w:r>
      <w:r w:rsidR="001B6CA8">
        <w:rPr>
          <w:rFonts w:ascii="Times New Roman" w:hAnsi="Times New Roman"/>
          <w:b w:val="0"/>
          <w:sz w:val="24"/>
        </w:rPr>
        <w:t>1</w:t>
      </w:r>
      <w:r w:rsidR="000637C9" w:rsidRPr="000637C9">
        <w:rPr>
          <w:rFonts w:ascii="Times New Roman" w:hAnsi="Times New Roman"/>
          <w:b w:val="0"/>
          <w:sz w:val="24"/>
        </w:rPr>
        <w:t xml:space="preserve"> </w:t>
      </w:r>
      <w:r w:rsidR="00510460">
        <w:rPr>
          <w:rFonts w:ascii="Times New Roman" w:hAnsi="Times New Roman"/>
          <w:b w:val="0"/>
          <w:sz w:val="24"/>
        </w:rPr>
        <w:t>0</w:t>
      </w:r>
      <w:r w:rsidR="000637C9" w:rsidRPr="000637C9">
        <w:rPr>
          <w:rFonts w:ascii="Times New Roman" w:hAnsi="Times New Roman"/>
          <w:b w:val="0"/>
          <w:sz w:val="24"/>
        </w:rPr>
        <w:t>00 000 EUR (</w:t>
      </w:r>
      <w:r w:rsidR="001B6CA8">
        <w:rPr>
          <w:rFonts w:ascii="Times New Roman" w:hAnsi="Times New Roman"/>
          <w:b w:val="0"/>
          <w:sz w:val="24"/>
        </w:rPr>
        <w:t>viens</w:t>
      </w:r>
      <w:r w:rsidR="000637C9" w:rsidRPr="000637C9">
        <w:rPr>
          <w:rFonts w:ascii="Times New Roman" w:hAnsi="Times New Roman"/>
          <w:b w:val="0"/>
          <w:sz w:val="24"/>
        </w:rPr>
        <w:t xml:space="preserve"> miljon</w:t>
      </w:r>
      <w:r w:rsidR="001B6CA8">
        <w:rPr>
          <w:rFonts w:ascii="Times New Roman" w:hAnsi="Times New Roman"/>
          <w:b w:val="0"/>
          <w:sz w:val="24"/>
        </w:rPr>
        <w:t>s</w:t>
      </w:r>
      <w:r w:rsidR="000637C9" w:rsidRPr="000637C9">
        <w:rPr>
          <w:rFonts w:ascii="Times New Roman" w:hAnsi="Times New Roman"/>
          <w:b w:val="0"/>
          <w:sz w:val="24"/>
        </w:rPr>
        <w:t xml:space="preserve"> </w:t>
      </w:r>
      <w:proofErr w:type="spellStart"/>
      <w:r w:rsidR="000637C9" w:rsidRPr="000637C9">
        <w:rPr>
          <w:rFonts w:ascii="Times New Roman" w:hAnsi="Times New Roman"/>
          <w:b w:val="0"/>
          <w:sz w:val="24"/>
        </w:rPr>
        <w:t>euro</w:t>
      </w:r>
      <w:proofErr w:type="spellEnd"/>
      <w:r w:rsidR="00A868F9" w:rsidRPr="000637C9">
        <w:rPr>
          <w:rFonts w:ascii="Times New Roman" w:hAnsi="Times New Roman"/>
          <w:b w:val="0"/>
          <w:sz w:val="24"/>
        </w:rPr>
        <w:t>)</w:t>
      </w:r>
      <w:r w:rsidRPr="000637C9">
        <w:rPr>
          <w:rFonts w:ascii="Times New Roman" w:hAnsi="Times New Roman"/>
          <w:b w:val="0"/>
          <w:sz w:val="24"/>
        </w:rPr>
        <w:t xml:space="preserve"> </w:t>
      </w:r>
      <w:r w:rsidR="000018DB" w:rsidRPr="000637C9">
        <w:rPr>
          <w:rFonts w:ascii="Times New Roman" w:hAnsi="Times New Roman"/>
          <w:b w:val="0"/>
          <w:sz w:val="24"/>
        </w:rPr>
        <w:t>gadā</w:t>
      </w:r>
      <w:r w:rsidR="000018DB" w:rsidRPr="00F84830">
        <w:rPr>
          <w:rFonts w:ascii="Times New Roman" w:hAnsi="Times New Roman"/>
          <w:b w:val="0"/>
          <w:sz w:val="24"/>
        </w:rPr>
        <w:t>, neskaitot PVN;</w:t>
      </w:r>
    </w:p>
    <w:p w:rsidR="00F923FB" w:rsidRPr="00D84F5E" w:rsidRDefault="00D84F5E" w:rsidP="00D84F5E">
      <w:pPr>
        <w:pStyle w:val="BlockText"/>
        <w:numPr>
          <w:ilvl w:val="2"/>
          <w:numId w:val="2"/>
        </w:numPr>
        <w:spacing w:after="120"/>
        <w:ind w:left="1134" w:right="-57"/>
        <w:jc w:val="both"/>
        <w:rPr>
          <w:b/>
        </w:rPr>
      </w:pPr>
      <w:r>
        <w:t>veikto darbu</w:t>
      </w:r>
      <w:r w:rsidR="006E014E" w:rsidRPr="003144F2">
        <w:t xml:space="preserve"> saraksts saskaņā ar šī nolikuma </w:t>
      </w:r>
      <w:r w:rsidR="00AC7939">
        <w:t>3</w:t>
      </w:r>
      <w:r w:rsidR="006E014E" w:rsidRPr="003144F2">
        <w:t xml:space="preserve">.pielikumu par </w:t>
      </w:r>
      <w:r w:rsidR="009F6D6B">
        <w:t>iepriekšējo</w:t>
      </w:r>
      <w:r w:rsidR="004752A7">
        <w:t xml:space="preserve"> </w:t>
      </w:r>
      <w:r>
        <w:t>3</w:t>
      </w:r>
      <w:r w:rsidR="004752A7">
        <w:t xml:space="preserve"> (</w:t>
      </w:r>
      <w:r>
        <w:t>trīs</w:t>
      </w:r>
      <w:r w:rsidR="004752A7">
        <w:t>) gadu laikā (</w:t>
      </w:r>
      <w:r w:rsidR="001E5324" w:rsidRPr="00834948">
        <w:rPr>
          <w:rFonts w:eastAsia="Calibri"/>
          <w:szCs w:val="24"/>
        </w:rPr>
        <w:t>201</w:t>
      </w:r>
      <w:r>
        <w:rPr>
          <w:rFonts w:eastAsia="Calibri"/>
          <w:szCs w:val="24"/>
        </w:rPr>
        <w:t>5</w:t>
      </w:r>
      <w:r w:rsidR="001E5324" w:rsidRPr="00834948">
        <w:rPr>
          <w:rFonts w:eastAsia="Calibri"/>
          <w:szCs w:val="24"/>
        </w:rPr>
        <w:t xml:space="preserve">. </w:t>
      </w:r>
      <w:r w:rsidR="001E5324" w:rsidRPr="001E5324">
        <w:rPr>
          <w:rFonts w:eastAsia="Calibri"/>
          <w:szCs w:val="24"/>
        </w:rPr>
        <w:t>- 2018.gadā līdz piedāvājumu iesniegšanas termiņa beigām</w:t>
      </w:r>
      <w:r w:rsidR="006E014E" w:rsidRPr="001E5324">
        <w:t xml:space="preserve">) </w:t>
      </w:r>
      <w:r>
        <w:t xml:space="preserve">veiktiem </w:t>
      </w:r>
      <w:r w:rsidR="001B6CA8" w:rsidRPr="001B6CA8">
        <w:t>kuģu ceļu vai ostas akvatorijas padziļināšanas pakalpojum</w:t>
      </w:r>
      <w:r w:rsidR="001B6CA8">
        <w:t>iem</w:t>
      </w:r>
      <w:r>
        <w:t>, kuros</w:t>
      </w:r>
      <w:r w:rsidR="000D3F83" w:rsidRPr="003144F2">
        <w:t xml:space="preserve"> veikti šim iepirkumam pēc rakstura un apjoma (</w:t>
      </w:r>
      <w:r w:rsidR="00F23653">
        <w:t>7.</w:t>
      </w:r>
      <w:r w:rsidR="001B6CA8">
        <w:t>3</w:t>
      </w:r>
      <w:r w:rsidR="00F23653">
        <w:t>.1.</w:t>
      </w:r>
      <w:r>
        <w:t xml:space="preserve"> </w:t>
      </w:r>
      <w:r w:rsidR="00F23653">
        <w:t>apakšpun</w:t>
      </w:r>
      <w:r w:rsidR="000D3F83" w:rsidRPr="003144F2">
        <w:t>kt</w:t>
      </w:r>
      <w:r>
        <w:t>s</w:t>
      </w:r>
      <w:r w:rsidR="000D3F83" w:rsidRPr="003144F2">
        <w:t>) līdzīgi darbi</w:t>
      </w:r>
      <w:r w:rsidR="006E014E" w:rsidRPr="003144F2">
        <w:t xml:space="preserve">, kas atbilst šī nolikuma </w:t>
      </w:r>
      <w:r w:rsidR="008D7A38" w:rsidRPr="003144F2">
        <w:fldChar w:fldCharType="begin"/>
      </w:r>
      <w:r w:rsidR="008D7A38" w:rsidRPr="003144F2">
        <w:instrText xml:space="preserve"> REF _Ref384822141 \r \h </w:instrText>
      </w:r>
      <w:r w:rsidR="003144F2" w:rsidRPr="003144F2">
        <w:instrText xml:space="preserve"> \* MERGEFORMAT </w:instrText>
      </w:r>
      <w:r w:rsidR="008D7A38" w:rsidRPr="003144F2">
        <w:fldChar w:fldCharType="separate"/>
      </w:r>
      <w:r w:rsidR="00424D41">
        <w:t>7.3</w:t>
      </w:r>
      <w:r w:rsidR="008D7A38" w:rsidRPr="003144F2">
        <w:fldChar w:fldCharType="end"/>
      </w:r>
      <w:r w:rsidR="006E014E" w:rsidRPr="003144F2">
        <w:t>.</w:t>
      </w:r>
      <w:r w:rsidR="00F923FB" w:rsidRPr="003144F2">
        <w:t xml:space="preserve">punktā </w:t>
      </w:r>
      <w:r w:rsidR="00630EE4" w:rsidRPr="003144F2">
        <w:t>izvirzītajām prasībām</w:t>
      </w:r>
      <w:r w:rsidR="00A36BAD" w:rsidRPr="003144F2">
        <w:t>.</w:t>
      </w:r>
    </w:p>
    <w:p w:rsidR="00A36BAD" w:rsidRPr="003144F2" w:rsidRDefault="00D84F5E" w:rsidP="00F923FB">
      <w:pPr>
        <w:pStyle w:val="BlockText"/>
        <w:spacing w:after="120"/>
        <w:ind w:left="1134" w:right="-57"/>
        <w:jc w:val="both"/>
      </w:pPr>
      <w:r>
        <w:lastRenderedPageBreak/>
        <w:t>Veikto darbu</w:t>
      </w:r>
      <w:r w:rsidR="00F923FB" w:rsidRPr="003144F2">
        <w:t xml:space="preserve"> sarakstam jāpievieno </w:t>
      </w:r>
      <w:r w:rsidR="006E014E" w:rsidRPr="003144F2">
        <w:t>atsauksmes vai cita veida dokumentāli pierādījumi no sarakstā uzrādīto objektu pasūtītājiem (īpašniekiem vai valdītājiem) ar informāciju par veiktajiem darbu apjomiem</w:t>
      </w:r>
      <w:r>
        <w:t xml:space="preserve"> un piegādēm</w:t>
      </w:r>
      <w:r w:rsidR="006E014E" w:rsidRPr="003144F2">
        <w:t xml:space="preserve"> </w:t>
      </w:r>
      <w:r w:rsidR="006E014E" w:rsidRPr="003144F2">
        <w:rPr>
          <w:i/>
        </w:rPr>
        <w:t>(</w:t>
      </w:r>
      <w:r w:rsidRPr="00D84F5E">
        <w:rPr>
          <w:i/>
        </w:rPr>
        <w:t>atsauksmē norādīt kuģa nosaukumu un vai modeli, darbu uzsākšanas un pabeigšanas datumu, kuģa tehniskos parametrus: grunts rūmes tilpums, dzinēju jauda</w:t>
      </w:r>
      <w:r w:rsidR="008C2388" w:rsidRPr="003144F2">
        <w:rPr>
          <w:i/>
        </w:rPr>
        <w:t xml:space="preserve"> u.c.</w:t>
      </w:r>
      <w:r w:rsidR="006E014E" w:rsidRPr="003144F2">
        <w:rPr>
          <w:i/>
        </w:rPr>
        <w:t>).</w:t>
      </w:r>
      <w:r w:rsidR="006E014E" w:rsidRPr="003144F2">
        <w:t xml:space="preserve"> </w:t>
      </w:r>
    </w:p>
    <w:p w:rsidR="006E014E" w:rsidRPr="003144F2" w:rsidRDefault="006E014E" w:rsidP="00F923FB">
      <w:pPr>
        <w:pStyle w:val="BlockText"/>
        <w:spacing w:after="120"/>
        <w:ind w:left="1134" w:right="-57"/>
        <w:jc w:val="both"/>
        <w:rPr>
          <w:b/>
        </w:rPr>
      </w:pPr>
      <w:r w:rsidRPr="003144F2">
        <w:t xml:space="preserve">Pasūtītājam ir tiesības pieprasīt no Pretendenta kvalifikāciju (t.sk. izpildīto </w:t>
      </w:r>
      <w:r w:rsidR="00D84F5E">
        <w:t>piegāžu</w:t>
      </w:r>
      <w:r w:rsidRPr="003144F2">
        <w:t>) apstiprinošus dokumentus, kas apliecina sniegto ziņu patiesumu</w:t>
      </w:r>
      <w:r w:rsidR="000018DB" w:rsidRPr="003144F2">
        <w:t>;</w:t>
      </w:r>
    </w:p>
    <w:p w:rsidR="006253D2" w:rsidRPr="003144F2" w:rsidRDefault="002F0C42" w:rsidP="006726BC">
      <w:pPr>
        <w:pStyle w:val="BlockText"/>
        <w:numPr>
          <w:ilvl w:val="2"/>
          <w:numId w:val="2"/>
        </w:numPr>
        <w:spacing w:after="120"/>
        <w:ind w:left="1134" w:right="-57"/>
        <w:jc w:val="both"/>
        <w:rPr>
          <w:szCs w:val="24"/>
        </w:rPr>
      </w:pPr>
      <w:r w:rsidRPr="002F0C42">
        <w:rPr>
          <w:szCs w:val="24"/>
        </w:rPr>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3144F2">
        <w:rPr>
          <w:szCs w:val="24"/>
        </w:rPr>
        <w:t>.</w:t>
      </w:r>
    </w:p>
    <w:p w:rsidR="002F165A" w:rsidRPr="003144F2" w:rsidRDefault="009F6D6B" w:rsidP="000C1843">
      <w:pPr>
        <w:pStyle w:val="BlockText"/>
        <w:spacing w:after="120"/>
        <w:ind w:left="1134" w:right="-57"/>
        <w:jc w:val="both"/>
      </w:pPr>
      <w:r w:rsidRPr="009F6D6B">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r w:rsidR="000018DB" w:rsidRPr="003144F2">
        <w:t>;</w:t>
      </w:r>
    </w:p>
    <w:p w:rsidR="00522927" w:rsidRPr="003144F2" w:rsidRDefault="002F0C42" w:rsidP="006726BC">
      <w:pPr>
        <w:pStyle w:val="BlockText"/>
        <w:numPr>
          <w:ilvl w:val="1"/>
          <w:numId w:val="2"/>
        </w:numPr>
        <w:spacing w:after="120"/>
        <w:ind w:left="426" w:right="-57"/>
        <w:jc w:val="both"/>
        <w:rPr>
          <w:szCs w:val="24"/>
        </w:rPr>
      </w:pPr>
      <w:r w:rsidRPr="002F0C42">
        <w:rPr>
          <w:szCs w:val="24"/>
        </w:rPr>
        <w:t xml:space="preserve">Ja Pretendents, lai nodrošinātu līgumsaistību izpildi, paredz balstīties uz citu piegādātāju iespējām, Pretendentam jāiesniedz apakšuzņēmēju saraksts un  attiecīgā apakšuzņēmēja apliecinājums (saskaņā ar šī nolikuma </w:t>
      </w:r>
      <w:r>
        <w:rPr>
          <w:szCs w:val="24"/>
        </w:rPr>
        <w:t>4</w:t>
      </w:r>
      <w:r w:rsidRPr="002F0C42">
        <w:rPr>
          <w:szCs w:val="24"/>
        </w:rPr>
        <w:t>.pielikumu).  Sarakstā jānorāda arī apakšuzņēmēju apakšuzņēmēji, ja to veicamo būvdarbu vērtība ir 10 procenti no kopējās iepirkuma līguma vērtības vai lielāka, norādot arī katram šādam apakšuzņēmējam izpildei nododamo iepirkuma līguma daļu</w:t>
      </w:r>
      <w:r w:rsidR="00522927"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10460" w:rsidRPr="0065188C" w:rsidRDefault="002F0C42" w:rsidP="0065188C">
      <w:pPr>
        <w:pStyle w:val="BlockText"/>
        <w:numPr>
          <w:ilvl w:val="2"/>
          <w:numId w:val="2"/>
        </w:numPr>
        <w:spacing w:after="120"/>
        <w:ind w:left="1134" w:right="-57"/>
        <w:jc w:val="both"/>
      </w:pPr>
      <w:r w:rsidRPr="002F0C42">
        <w:rPr>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510460" w:rsidRPr="0065188C">
        <w:rPr>
          <w:szCs w:val="24"/>
        </w:rPr>
        <w:t>.</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lastRenderedPageBreak/>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5" w:name="_Toc312767051"/>
      <w:bookmarkStart w:id="46" w:name="_Toc496711284"/>
      <w:r w:rsidRPr="003144F2">
        <w:rPr>
          <w:sz w:val="28"/>
          <w:szCs w:val="28"/>
        </w:rPr>
        <w:t>TEHNISKAIS PIEDĀVĀJUMS</w:t>
      </w:r>
      <w:bookmarkEnd w:id="45"/>
      <w:bookmarkEnd w:id="46"/>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B4B1C" w:rsidRPr="003144F2" w:rsidRDefault="00D84F5E" w:rsidP="006726BC">
      <w:pPr>
        <w:pStyle w:val="BlockText"/>
        <w:numPr>
          <w:ilvl w:val="2"/>
          <w:numId w:val="2"/>
        </w:numPr>
        <w:spacing w:after="120"/>
        <w:ind w:left="1134" w:right="-57"/>
        <w:jc w:val="both"/>
        <w:rPr>
          <w:szCs w:val="24"/>
        </w:rPr>
      </w:pPr>
      <w:r w:rsidRPr="00D84F5E">
        <w:t>apliecinājums, ka Pretendenta rīcībā būs (kas pieder vai ir pieejami Pretendentam) līgumsaistību izpildes nodrošināšanai nepieciešamie tehniskie resursi – tehnika un iekārtas</w:t>
      </w:r>
      <w:r w:rsidR="000018DB"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D84F5E">
      <w:pPr>
        <w:pStyle w:val="Heading1"/>
        <w:numPr>
          <w:ilvl w:val="0"/>
          <w:numId w:val="2"/>
        </w:numPr>
        <w:overflowPunct w:val="0"/>
        <w:autoSpaceDE w:val="0"/>
        <w:autoSpaceDN w:val="0"/>
        <w:adjustRightInd w:val="0"/>
        <w:spacing w:before="240" w:after="240"/>
        <w:jc w:val="center"/>
        <w:textAlignment w:val="baseline"/>
        <w:rPr>
          <w:sz w:val="28"/>
          <w:szCs w:val="28"/>
        </w:rPr>
      </w:pPr>
      <w:bookmarkStart w:id="47" w:name="_Toc312767052"/>
      <w:bookmarkStart w:id="48" w:name="_Toc496711285"/>
      <w:r w:rsidRPr="003144F2">
        <w:rPr>
          <w:sz w:val="28"/>
          <w:szCs w:val="28"/>
        </w:rPr>
        <w:t>FINANŠU PIEDĀVĀJUMS</w:t>
      </w:r>
      <w:bookmarkEnd w:id="47"/>
      <w:bookmarkEnd w:id="48"/>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1B6CA8" w:rsidRDefault="00522927" w:rsidP="001B6CA8">
      <w:pPr>
        <w:pStyle w:val="BlockText"/>
        <w:numPr>
          <w:ilvl w:val="2"/>
          <w:numId w:val="2"/>
        </w:numPr>
        <w:spacing w:after="120"/>
        <w:ind w:left="1134" w:right="-57"/>
        <w:jc w:val="both"/>
        <w:rPr>
          <w:szCs w:val="24"/>
        </w:rPr>
      </w:pPr>
      <w:r w:rsidRPr="003144F2">
        <w:rPr>
          <w:szCs w:val="24"/>
        </w:rPr>
        <w:t>Pretendenta pieteikums</w:t>
      </w:r>
      <w:r w:rsidR="00F41C48">
        <w:rPr>
          <w:szCs w:val="24"/>
        </w:rPr>
        <w:t xml:space="preserve"> (2.pielikums)</w:t>
      </w:r>
      <w:r w:rsidR="001B6CA8">
        <w:rPr>
          <w:szCs w:val="24"/>
        </w:rPr>
        <w:t>.</w:t>
      </w:r>
    </w:p>
    <w:p w:rsidR="001B6CA8" w:rsidRDefault="001B6CA8" w:rsidP="00927773">
      <w:pPr>
        <w:pStyle w:val="BlockText"/>
        <w:spacing w:after="120"/>
        <w:ind w:left="414" w:right="-57"/>
        <w:jc w:val="both"/>
        <w:rPr>
          <w:szCs w:val="24"/>
        </w:rPr>
      </w:pPr>
      <w:r w:rsidRPr="001B6CA8">
        <w:rPr>
          <w:szCs w:val="24"/>
        </w:rPr>
        <w:t xml:space="preserve">Līgumcena un izmaksu aprēķini jānorāda </w:t>
      </w:r>
      <w:proofErr w:type="spellStart"/>
      <w:r w:rsidRPr="001B6CA8">
        <w:rPr>
          <w:szCs w:val="24"/>
        </w:rPr>
        <w:t>e</w:t>
      </w:r>
      <w:r>
        <w:rPr>
          <w:szCs w:val="24"/>
        </w:rPr>
        <w:t>u</w:t>
      </w:r>
      <w:r w:rsidRPr="001B6CA8">
        <w:rPr>
          <w:szCs w:val="24"/>
        </w:rPr>
        <w:t>ro</w:t>
      </w:r>
      <w:proofErr w:type="spellEnd"/>
      <w:r w:rsidRPr="001B6CA8">
        <w:rPr>
          <w:szCs w:val="24"/>
        </w:rPr>
        <w:t xml:space="preserve"> bez</w:t>
      </w:r>
      <w:r>
        <w:rPr>
          <w:szCs w:val="24"/>
        </w:rPr>
        <w:t xml:space="preserve"> pievienotās vērtības nodokļa</w:t>
      </w:r>
      <w:r w:rsidRPr="001B6CA8">
        <w:rPr>
          <w:szCs w:val="24"/>
        </w:rPr>
        <w:t>.</w:t>
      </w:r>
      <w:bookmarkStart w:id="49" w:name="_Ref239063019"/>
      <w:bookmarkStart w:id="50" w:name="_Ref239315878"/>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1" w:name="_Toc312767053"/>
      <w:bookmarkStart w:id="52" w:name="_Toc496711286"/>
      <w:bookmarkEnd w:id="49"/>
      <w:bookmarkEnd w:id="50"/>
      <w:r w:rsidRPr="003144F2">
        <w:rPr>
          <w:sz w:val="28"/>
          <w:szCs w:val="28"/>
        </w:rPr>
        <w:t>PIEDĀVĀJUMU IESNIEGŠANA UN ATVĒRŠANA</w:t>
      </w:r>
      <w:bookmarkEnd w:id="51"/>
      <w:bookmarkEnd w:id="52"/>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w:t>
      </w:r>
      <w:r w:rsidR="00C64171">
        <w:t>9</w:t>
      </w:r>
      <w:r w:rsidRPr="003144F2">
        <w:t>.</w:t>
      </w:r>
      <w:r w:rsidRPr="00500371">
        <w:t>gada</w:t>
      </w:r>
      <w:r w:rsidR="00525A9B">
        <w:t xml:space="preserve"> </w:t>
      </w:r>
      <w:r w:rsidR="00C64171">
        <w:t>15.janvāra</w:t>
      </w:r>
      <w:r w:rsidR="004752A7">
        <w:t xml:space="preserve"> </w:t>
      </w:r>
      <w:r w:rsidRPr="003144F2">
        <w:t>plkst. 1</w:t>
      </w:r>
      <w:r w:rsidR="000637C9">
        <w:t>6</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9F6D6B" w:rsidRDefault="009F6D6B" w:rsidP="00FC37A2">
      <w:pPr>
        <w:pStyle w:val="BlockText"/>
        <w:numPr>
          <w:ilvl w:val="1"/>
          <w:numId w:val="2"/>
        </w:numPr>
        <w:spacing w:after="120"/>
        <w:ind w:left="709" w:right="-57" w:hanging="709"/>
        <w:jc w:val="both"/>
      </w:pPr>
      <w:r w:rsidRPr="009F6D6B">
        <w:rPr>
          <w:rFonts w:eastAsia="MS Mincho"/>
          <w:b/>
          <w:szCs w:val="24"/>
        </w:rPr>
        <w:t xml:space="preserve">Ārpus EIS e-konkursu apakšsistēmas iesniegtie piedāvājumi </w:t>
      </w:r>
      <w:r w:rsidRPr="009F6D6B">
        <w:rPr>
          <w:rFonts w:eastAsia="MS Mincho"/>
          <w:szCs w:val="24"/>
        </w:rPr>
        <w:t>tiks atzīti par neatbilstošiem šī nolikuma prasībām un neatvērtā veidā tiks nosūtīti atpakaļ iesniedzējam</w:t>
      </w:r>
      <w:r w:rsidR="00FC37A2" w:rsidRPr="009F6D6B">
        <w:t xml:space="preserve">.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D46D43" w:rsidRDefault="007212ED" w:rsidP="00D46D43">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lastRenderedPageBreak/>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w:t>
      </w:r>
      <w:r w:rsidR="00C64171">
        <w:rPr>
          <w:rFonts w:eastAsia="Calibri"/>
          <w:sz w:val="24"/>
          <w:szCs w:val="24"/>
          <w:lang w:eastAsia="en-US"/>
        </w:rPr>
        <w:t>9</w:t>
      </w:r>
      <w:r w:rsidR="00CC47AE" w:rsidRPr="003144F2">
        <w:rPr>
          <w:rFonts w:eastAsia="Calibri"/>
          <w:sz w:val="24"/>
          <w:szCs w:val="24"/>
          <w:lang w:eastAsia="en-US"/>
        </w:rPr>
        <w:t>.g</w:t>
      </w:r>
      <w:r w:rsidR="00CC47AE" w:rsidRPr="00500371">
        <w:rPr>
          <w:sz w:val="24"/>
          <w:szCs w:val="24"/>
          <w:lang w:eastAsia="en-US"/>
        </w:rPr>
        <w:t xml:space="preserve">ada </w:t>
      </w:r>
      <w:r w:rsidR="00C64171">
        <w:rPr>
          <w:sz w:val="24"/>
          <w:szCs w:val="24"/>
          <w:lang w:eastAsia="en-US"/>
        </w:rPr>
        <w:t>15.janvārī</w:t>
      </w:r>
      <w:bookmarkStart w:id="53" w:name="_GoBack"/>
      <w:bookmarkEnd w:id="53"/>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w:t>
      </w:r>
      <w:r w:rsidR="000637C9">
        <w:rPr>
          <w:sz w:val="24"/>
          <w:szCs w:val="24"/>
        </w:rPr>
        <w:t>6</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D46D43" w:rsidRDefault="00006413" w:rsidP="00D46D43">
      <w:pPr>
        <w:numPr>
          <w:ilvl w:val="1"/>
          <w:numId w:val="2"/>
        </w:numPr>
        <w:spacing w:after="120"/>
        <w:ind w:left="720" w:hanging="720"/>
        <w:contextualSpacing/>
        <w:jc w:val="both"/>
        <w:rPr>
          <w:rFonts w:eastAsia="Calibri"/>
          <w:sz w:val="24"/>
          <w:szCs w:val="24"/>
          <w:lang w:eastAsia="en-US"/>
        </w:rPr>
      </w:pPr>
      <w:r w:rsidRPr="00D46D43">
        <w:rPr>
          <w:sz w:val="24"/>
          <w:szCs w:val="24"/>
        </w:rPr>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4" w:name="_Toc312767054"/>
      <w:bookmarkStart w:id="55" w:name="_Toc496711287"/>
      <w:r w:rsidRPr="003144F2">
        <w:rPr>
          <w:sz w:val="28"/>
          <w:szCs w:val="28"/>
        </w:rPr>
        <w:t>PIEDĀVĀJUMA SAGATAVOŠANA UN NOFORMĒŠANA</w:t>
      </w:r>
      <w:bookmarkEnd w:id="54"/>
      <w:bookmarkEnd w:id="55"/>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w:t>
      </w:r>
      <w:r w:rsidR="00510460" w:rsidRPr="003144F2">
        <w:rPr>
          <w:color w:val="000000"/>
        </w:rPr>
        <w:t>201</w:t>
      </w:r>
      <w:r w:rsidR="00510460">
        <w:rPr>
          <w:color w:val="000000"/>
        </w:rPr>
        <w:t>8</w:t>
      </w:r>
      <w:r w:rsidR="00510460" w:rsidRPr="003144F2">
        <w:rPr>
          <w:color w:val="000000"/>
        </w:rPr>
        <w:t xml:space="preserve">.gada </w:t>
      </w:r>
      <w:r w:rsidR="00510460">
        <w:rPr>
          <w:color w:val="000000"/>
        </w:rPr>
        <w:t>4</w:t>
      </w:r>
      <w:r w:rsidR="00510460" w:rsidRPr="003144F2">
        <w:rPr>
          <w:color w:val="000000"/>
        </w:rPr>
        <w:t>.septembra noteikumu Nr.</w:t>
      </w:r>
      <w:r w:rsidR="00510460">
        <w:rPr>
          <w:color w:val="000000"/>
        </w:rPr>
        <w:t>558</w:t>
      </w:r>
      <w:r w:rsidRPr="003144F2">
        <w:rPr>
          <w:color w:val="000000"/>
        </w:rPr>
        <w:t xml:space="preserve">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 xml:space="preserve">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w:t>
      </w:r>
      <w:r w:rsidRPr="003144F2">
        <w:lastRenderedPageBreak/>
        <w:t>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 xml:space="preserve">norādot vārdu un uzvārdu, ieņemamo amatu). </w:t>
      </w:r>
      <w:r w:rsidR="002B6834">
        <w:t>D</w:t>
      </w:r>
      <w:r w:rsidRPr="003144F2">
        <w:t>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DE3E6D">
      <w:pPr>
        <w:pStyle w:val="Heading1"/>
        <w:numPr>
          <w:ilvl w:val="0"/>
          <w:numId w:val="2"/>
        </w:numPr>
        <w:overflowPunct w:val="0"/>
        <w:autoSpaceDE w:val="0"/>
        <w:autoSpaceDN w:val="0"/>
        <w:adjustRightInd w:val="0"/>
        <w:spacing w:before="240" w:after="240"/>
        <w:jc w:val="center"/>
        <w:textAlignment w:val="baseline"/>
        <w:rPr>
          <w:sz w:val="28"/>
          <w:szCs w:val="28"/>
        </w:rPr>
      </w:pPr>
      <w:bookmarkStart w:id="56" w:name="_Toc312767055"/>
      <w:bookmarkStart w:id="57" w:name="_Toc496711288"/>
      <w:r w:rsidRPr="003144F2">
        <w:rPr>
          <w:sz w:val="28"/>
          <w:szCs w:val="28"/>
        </w:rPr>
        <w:t>PRETENDENTU ATLASE,</w:t>
      </w:r>
      <w:bookmarkEnd w:id="56"/>
      <w:r w:rsidRPr="003144F2">
        <w:rPr>
          <w:sz w:val="28"/>
          <w:szCs w:val="28"/>
        </w:rPr>
        <w:t xml:space="preserve"> </w:t>
      </w:r>
      <w:bookmarkStart w:id="58" w:name="_Toc312767056"/>
      <w:r w:rsidRPr="003144F2">
        <w:rPr>
          <w:sz w:val="28"/>
          <w:szCs w:val="28"/>
        </w:rPr>
        <w:t>PIEDĀVĀJUMU ATBILSTĪBAS PĀRBAUDE UN IZVĒLE</w:t>
      </w:r>
      <w:bookmarkEnd w:id="57"/>
      <w:bookmarkEnd w:id="58"/>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w:t>
      </w:r>
      <w:r w:rsidRPr="003144F2">
        <w:rPr>
          <w:szCs w:val="24"/>
        </w:rPr>
        <w:lastRenderedPageBreak/>
        <w:t>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1E5324" w:rsidP="00FC37A2">
      <w:pPr>
        <w:pStyle w:val="BlockText"/>
        <w:numPr>
          <w:ilvl w:val="1"/>
          <w:numId w:val="2"/>
        </w:numPr>
        <w:spacing w:after="120"/>
        <w:ind w:left="426" w:right="-57"/>
        <w:jc w:val="both"/>
        <w:rPr>
          <w:color w:val="000000"/>
        </w:rPr>
      </w:pPr>
      <w:r w:rsidRPr="001E5324">
        <w:rPr>
          <w:szCs w:val="24"/>
        </w:rPr>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1E5324" w:rsidRPr="001E5324" w:rsidRDefault="001E5324" w:rsidP="001E5324">
      <w:pPr>
        <w:pStyle w:val="BlockText"/>
        <w:spacing w:after="120"/>
        <w:ind w:left="426" w:right="-57"/>
        <w:jc w:val="both"/>
        <w:rPr>
          <w:color w:val="000000"/>
        </w:rPr>
      </w:pPr>
      <w:r w:rsidRPr="001E5324">
        <w:rPr>
          <w:color w:val="000000"/>
        </w:rPr>
        <w:t>Ja Komisijai radīsies šaubas, vai Pretendenta piedāvājums ir nepamatoti lēts, Pretendentam tiks pieprasīts skaidrojums par piedāvāto cenu vai izmaksām.</w:t>
      </w:r>
    </w:p>
    <w:p w:rsidR="001E5324" w:rsidRPr="003144F2" w:rsidRDefault="001E5324" w:rsidP="001E5324">
      <w:pPr>
        <w:pStyle w:val="BlockText"/>
        <w:spacing w:after="120"/>
        <w:ind w:left="426" w:right="-57"/>
        <w:jc w:val="both"/>
        <w:rPr>
          <w:color w:val="000000"/>
        </w:rPr>
      </w:pPr>
      <w:r w:rsidRPr="001E5324">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Default="00522927" w:rsidP="00FC37A2">
      <w:pPr>
        <w:pStyle w:val="BlockText"/>
        <w:numPr>
          <w:ilvl w:val="1"/>
          <w:numId w:val="2"/>
        </w:numPr>
        <w:spacing w:after="120"/>
        <w:ind w:left="426" w:right="-57"/>
        <w:jc w:val="both"/>
        <w:rPr>
          <w:color w:val="000000"/>
        </w:rPr>
      </w:pPr>
      <w:r w:rsidRPr="003144F2">
        <w:rPr>
          <w:color w:val="000000"/>
        </w:rPr>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saimnieciski visizdevīgākais piedāvājums</w:t>
      </w:r>
      <w:r w:rsidR="00A668BE">
        <w:rPr>
          <w:color w:val="000000"/>
        </w:rPr>
        <w:t xml:space="preserve"> – viszemākā cena.</w:t>
      </w:r>
    </w:p>
    <w:p w:rsidR="00D46D43" w:rsidRPr="00A668BE" w:rsidRDefault="00A668BE" w:rsidP="00A668BE">
      <w:pPr>
        <w:pStyle w:val="BlockText"/>
        <w:spacing w:after="120"/>
        <w:ind w:left="426" w:right="-57"/>
        <w:jc w:val="both"/>
        <w:rPr>
          <w:color w:val="000000"/>
        </w:rPr>
      </w:pPr>
      <w:r w:rsidRPr="00A668BE">
        <w:rPr>
          <w:color w:val="000000"/>
        </w:rPr>
        <w:t xml:space="preserve">Izvērtējot pretendentu piedāvājumus, Komisija atzīs par uzvarētāju piedāvājumu ar zemāko cenu </w:t>
      </w:r>
      <w:r w:rsidRPr="00A668BE">
        <w:rPr>
          <w:b/>
          <w:bCs/>
          <w:i/>
          <w:iCs/>
          <w:color w:val="000000"/>
          <w:u w:val="single"/>
        </w:rPr>
        <w:t>noteiktam m</w:t>
      </w:r>
      <w:r w:rsidRPr="00A668BE">
        <w:rPr>
          <w:b/>
          <w:bCs/>
          <w:i/>
          <w:iCs/>
          <w:color w:val="000000"/>
          <w:u w:val="single"/>
          <w:vertAlign w:val="superscript"/>
        </w:rPr>
        <w:t>3</w:t>
      </w:r>
      <w:r w:rsidRPr="00A668BE">
        <w:rPr>
          <w:b/>
          <w:bCs/>
          <w:i/>
          <w:iCs/>
          <w:color w:val="000000"/>
          <w:u w:val="single"/>
        </w:rPr>
        <w:t xml:space="preserve"> skaitam</w:t>
      </w:r>
      <w:r w:rsidRPr="00A668BE">
        <w:rPr>
          <w:color w:val="000000"/>
        </w:rPr>
        <w:t xml:space="preserve">, ko noteiks šādi – </w:t>
      </w:r>
      <w:r w:rsidRPr="00A668BE">
        <w:rPr>
          <w:b/>
          <w:bCs/>
          <w:i/>
          <w:iCs/>
          <w:color w:val="000000"/>
          <w:u w:val="single"/>
        </w:rPr>
        <w:t>1m</w:t>
      </w:r>
      <w:r w:rsidRPr="00A668BE">
        <w:rPr>
          <w:b/>
          <w:bCs/>
          <w:i/>
          <w:iCs/>
          <w:color w:val="000000"/>
          <w:u w:val="single"/>
          <w:vertAlign w:val="superscript"/>
        </w:rPr>
        <w:t>3</w:t>
      </w:r>
      <w:r w:rsidRPr="00A668BE">
        <w:rPr>
          <w:b/>
          <w:bCs/>
          <w:i/>
          <w:iCs/>
          <w:color w:val="000000"/>
          <w:u w:val="single"/>
        </w:rPr>
        <w:t xml:space="preserve"> izsūknētās grunts cenu sareizinās ar izsūknējamo m</w:t>
      </w:r>
      <w:r w:rsidRPr="00A668BE">
        <w:rPr>
          <w:b/>
          <w:bCs/>
          <w:i/>
          <w:iCs/>
          <w:color w:val="000000"/>
          <w:u w:val="single"/>
          <w:vertAlign w:val="superscript"/>
        </w:rPr>
        <w:t>3</w:t>
      </w:r>
      <w:r w:rsidRPr="00A668BE">
        <w:rPr>
          <w:b/>
          <w:bCs/>
          <w:i/>
          <w:iCs/>
          <w:color w:val="000000"/>
          <w:u w:val="single"/>
        </w:rPr>
        <w:t xml:space="preserve"> skaitu (apjomu robežas noteiktas darba uzdevumā - pielikums Nr.1), un pie iegūtā rezultāta pieskaitot kopējo mobilizācijas/demobilizācijas cenu</w:t>
      </w:r>
      <w:r w:rsidRPr="00A668BE">
        <w:rPr>
          <w:color w:val="000000"/>
        </w:rPr>
        <w:t xml:space="preserve"> (uzvarētāja noteikšanas uzskatāmu piemēru skatīt </w:t>
      </w:r>
      <w:r w:rsidR="00424D41">
        <w:rPr>
          <w:color w:val="000000"/>
        </w:rPr>
        <w:t>6</w:t>
      </w:r>
      <w:r w:rsidRPr="00A668BE">
        <w:rPr>
          <w:color w:val="000000"/>
        </w:rPr>
        <w:t>.pielikumā)</w:t>
      </w:r>
      <w:r w:rsidRPr="00A668BE">
        <w:rPr>
          <w:bCs/>
          <w:iCs/>
          <w:color w:val="000000"/>
        </w:rPr>
        <w:t>,</w:t>
      </w:r>
      <w:r w:rsidRPr="00A668BE">
        <w:rPr>
          <w:b/>
          <w:bCs/>
          <w:i/>
          <w:iCs/>
          <w:color w:val="000000"/>
        </w:rPr>
        <w:t xml:space="preserve"> </w:t>
      </w:r>
      <w:r w:rsidRPr="00A668BE">
        <w:rPr>
          <w:color w:val="000000"/>
        </w:rPr>
        <w:t xml:space="preserve">ja Pretendents būs izturējis Pretendentu atlasi un izpildījis visas konkursa </w:t>
      </w:r>
      <w:smartTag w:uri="schemas-tilde-lv/tildestengine" w:element="veidnes">
        <w:smartTagPr>
          <w:attr w:name="baseform" w:val="nolikum|s"/>
          <w:attr w:name="id" w:val="-1"/>
          <w:attr w:name="text" w:val="nolikuma"/>
        </w:smartTagPr>
        <w:r w:rsidRPr="00A668BE">
          <w:rPr>
            <w:color w:val="000000"/>
          </w:rPr>
          <w:t>nolikuma</w:t>
        </w:r>
      </w:smartTag>
      <w:r w:rsidRPr="00A668BE">
        <w:rPr>
          <w:color w:val="000000"/>
        </w:rPr>
        <w:t xml:space="preserve"> prasības attiecībā uz piedāvājuma dokumentu sagatavošanu</w:t>
      </w:r>
      <w:r>
        <w:rPr>
          <w:color w:val="000000"/>
        </w:rPr>
        <w:t>.</w:t>
      </w:r>
    </w:p>
    <w:p w:rsidR="001A05AE" w:rsidRDefault="00782F60" w:rsidP="009F6D6B">
      <w:pPr>
        <w:pStyle w:val="BlockText"/>
        <w:numPr>
          <w:ilvl w:val="1"/>
          <w:numId w:val="2"/>
        </w:numPr>
        <w:spacing w:after="120"/>
        <w:ind w:left="426" w:right="-57"/>
        <w:jc w:val="both"/>
        <w:rPr>
          <w:color w:val="000000"/>
        </w:rPr>
      </w:pPr>
      <w:r w:rsidRPr="003144F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w:t>
      </w:r>
    </w:p>
    <w:p w:rsidR="009F6D6B" w:rsidRDefault="00782F60" w:rsidP="001A05AE">
      <w:pPr>
        <w:pStyle w:val="BlockText"/>
        <w:spacing w:after="120"/>
        <w:ind w:left="426" w:right="-57"/>
        <w:jc w:val="both"/>
        <w:rPr>
          <w:color w:val="000000"/>
        </w:rPr>
      </w:pPr>
      <w:r w:rsidRPr="009F6D6B">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A05AE" w:rsidRPr="001A05AE" w:rsidRDefault="009F6D6B" w:rsidP="001A05AE">
      <w:pPr>
        <w:pStyle w:val="BlockText"/>
        <w:numPr>
          <w:ilvl w:val="1"/>
          <w:numId w:val="2"/>
        </w:numPr>
        <w:spacing w:after="120"/>
        <w:ind w:left="426" w:right="-57"/>
        <w:jc w:val="both"/>
        <w:rPr>
          <w:color w:val="000000"/>
        </w:rPr>
      </w:pPr>
      <w:r w:rsidRPr="009F6D6B">
        <w:rPr>
          <w:szCs w:val="24"/>
        </w:rPr>
        <w:t xml:space="preserve">Pasūtītājs, ņemot vērā Starptautisko un Latvijas Republikas nacionālo sankciju likumā 11.¹ pantā noteikto, attiecībā uz </w:t>
      </w:r>
      <w:r w:rsidRPr="009F6D6B">
        <w:rPr>
          <w:b/>
          <w:bCs/>
          <w:i/>
          <w:iCs/>
          <w:szCs w:val="24"/>
        </w:rPr>
        <w:t xml:space="preserve">pretendentu, kuram būtu piešķiramas līguma slēgšanas tiesības, pārbauda, vai attiecībā uz šo pretendentu, tā valdes vai padomes locekli, </w:t>
      </w:r>
      <w:proofErr w:type="spellStart"/>
      <w:r w:rsidRPr="009F6D6B">
        <w:rPr>
          <w:b/>
          <w:bCs/>
          <w:i/>
          <w:iCs/>
          <w:szCs w:val="24"/>
        </w:rPr>
        <w:t>pārstāvēttiesīgo</w:t>
      </w:r>
      <w:proofErr w:type="spellEnd"/>
      <w:r w:rsidRPr="009F6D6B">
        <w:rPr>
          <w:b/>
          <w:bCs/>
          <w:i/>
          <w:iCs/>
          <w:szCs w:val="24"/>
        </w:rPr>
        <w:t xml:space="preserve"> personu vai prokūristu vai personu, kura ir pilnvarota pārstāvēt kandidātu vai pretendentu darbībās, kas saistītas ar filiāli, vai personālsabiedrības biedru, ja kandidāts vai pretendents ir personālsabiedrība,</w:t>
      </w:r>
      <w:r w:rsidRPr="009F6D6B">
        <w:rPr>
          <w:szCs w:val="24"/>
        </w:rPr>
        <w:t xml:space="preserve"> ir </w:t>
      </w:r>
      <w:r w:rsidRPr="009F6D6B">
        <w:rPr>
          <w:szCs w:val="24"/>
        </w:rPr>
        <w:lastRenderedPageBreak/>
        <w:t>noteiktas starptautiskās vai nacionālās sankcijas vai būtiskas finanšu un kapitāla tirgus intereses ietekmējošas Eiropas Savienības vai Ziemeļatlantijas līguma organizācijas dalībvalsts noteiktās sankcijas, kuras ietekmē līguma izpildi.</w:t>
      </w:r>
      <w:r w:rsidR="001A05AE">
        <w:rPr>
          <w:color w:val="000000"/>
        </w:rPr>
        <w:t xml:space="preserve"> </w:t>
      </w:r>
      <w:r w:rsidRPr="001A05AE">
        <w:rPr>
          <w:szCs w:val="24"/>
        </w:rPr>
        <w:t>Pārbaudi veic arī attiecībā uz pretendenta norādīto apakšuzņēmēju, kura veicamo būvdarbu vērtība ir vismaz 10 procenti no kopējās līguma vērtības, un personu, uz kuras iespējām pretendents balstās, lai apliecinātu, ka tā kvalifikācija atbilst paziņojumā par līgumu, iepirkuma procedūras dokumentos, noteiktajām prasībām.</w:t>
      </w:r>
    </w:p>
    <w:p w:rsidR="001A05AE" w:rsidRPr="001A05AE" w:rsidRDefault="009F6D6B" w:rsidP="001A05AE">
      <w:pPr>
        <w:pStyle w:val="BlockText"/>
        <w:spacing w:after="120"/>
        <w:ind w:left="426" w:right="-57"/>
        <w:jc w:val="both"/>
        <w:rPr>
          <w:color w:val="000000"/>
        </w:rPr>
      </w:pPr>
      <w:r w:rsidRPr="001A05AE">
        <w:rPr>
          <w:szCs w:val="24"/>
        </w:rPr>
        <w:t xml:space="preserve">Pasūtītājs izslēgšanas nosacījumu esamība pārbaudīs Ārlietu ministrijas mājaslapā </w:t>
      </w:r>
      <w:hyperlink r:id="rId18" w:history="1">
        <w:r w:rsidRPr="001A05AE">
          <w:rPr>
            <w:rStyle w:val="Hyperlink"/>
            <w:color w:val="0070C0"/>
            <w:szCs w:val="24"/>
          </w:rPr>
          <w:t>http://sankcijas.kd.gov.lv/</w:t>
        </w:r>
      </w:hyperlink>
      <w:r w:rsidRPr="001A05AE">
        <w:rPr>
          <w:szCs w:val="24"/>
        </w:rPr>
        <w:t xml:space="preserve"> norādītajās vietnēs.</w:t>
      </w:r>
    </w:p>
    <w:p w:rsidR="001A05AE" w:rsidRDefault="009F6D6B" w:rsidP="001A05AE">
      <w:pPr>
        <w:pStyle w:val="BlockText"/>
        <w:spacing w:after="120"/>
        <w:ind w:left="426" w:right="-57"/>
        <w:jc w:val="both"/>
        <w:rPr>
          <w:color w:val="000000"/>
        </w:rPr>
      </w:pPr>
      <w:r w:rsidRPr="001A05AE">
        <w:rPr>
          <w:iCs/>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w:t>
      </w:r>
      <w:r w:rsidRPr="001A05AE">
        <w:rPr>
          <w:b/>
          <w:bCs/>
          <w:iCs/>
        </w:rPr>
        <w:t>kuras var kavēt līguma izpildi,</w:t>
      </w:r>
      <w:r w:rsidRPr="001A05AE">
        <w:rPr>
          <w:iCs/>
        </w:rPr>
        <w:t xml:space="preserve"> Pasūtītājs izslēdz Pretendentu no dalības līguma slēgšanas tiesību piešķiršanas procedūrā</w:t>
      </w:r>
      <w:r w:rsidR="001A05AE">
        <w:rPr>
          <w:color w:val="000000"/>
        </w:rPr>
        <w:t>.</w:t>
      </w:r>
    </w:p>
    <w:p w:rsidR="00522927" w:rsidRPr="001A05AE" w:rsidRDefault="00721F20" w:rsidP="001A05AE">
      <w:pPr>
        <w:pStyle w:val="BlockText"/>
        <w:numPr>
          <w:ilvl w:val="1"/>
          <w:numId w:val="2"/>
        </w:numPr>
        <w:spacing w:after="120"/>
        <w:ind w:left="426" w:right="-57"/>
        <w:jc w:val="both"/>
        <w:rPr>
          <w:color w:val="000000"/>
        </w:rPr>
      </w:pPr>
      <w:r w:rsidRPr="001A05AE">
        <w:rPr>
          <w:color w:val="000000"/>
        </w:rPr>
        <w:t>Pasūtītājs ir tiesīgs līdz iepirkuma līguma noslēgšanai pārtraukt iepirkuma procedūru</w:t>
      </w:r>
      <w:r w:rsidR="009665FD" w:rsidRPr="001A05AE">
        <w:rPr>
          <w:color w:val="000000"/>
        </w:rPr>
        <w:t>, ja tam ir objektīvs pamatojums</w:t>
      </w:r>
      <w:r w:rsidRPr="001A05AE">
        <w:rPr>
          <w:color w:val="000000"/>
        </w:rPr>
        <w:t>.</w:t>
      </w:r>
    </w:p>
    <w:p w:rsidR="0034559A" w:rsidRPr="003144F2" w:rsidRDefault="00522927" w:rsidP="001A05AE">
      <w:pPr>
        <w:pStyle w:val="Heading1"/>
        <w:numPr>
          <w:ilvl w:val="0"/>
          <w:numId w:val="2"/>
        </w:numPr>
        <w:overflowPunct w:val="0"/>
        <w:autoSpaceDE w:val="0"/>
        <w:autoSpaceDN w:val="0"/>
        <w:adjustRightInd w:val="0"/>
        <w:spacing w:before="240" w:after="240"/>
        <w:jc w:val="center"/>
        <w:textAlignment w:val="baseline"/>
        <w:rPr>
          <w:sz w:val="28"/>
          <w:szCs w:val="28"/>
        </w:rPr>
      </w:pPr>
      <w:bookmarkStart w:id="59" w:name="_Toc312767057"/>
      <w:bookmarkStart w:id="60" w:name="_Toc496711289"/>
      <w:r w:rsidRPr="003144F2">
        <w:rPr>
          <w:sz w:val="28"/>
          <w:szCs w:val="28"/>
        </w:rPr>
        <w:t>IEPIRKUMA LĪGUMA SLĒGŠANA</w:t>
      </w:r>
      <w:bookmarkEnd w:id="59"/>
      <w:bookmarkEnd w:id="60"/>
    </w:p>
    <w:p w:rsidR="00522927" w:rsidRPr="003144F2" w:rsidRDefault="001A05AE" w:rsidP="001A05AE">
      <w:pPr>
        <w:pStyle w:val="BlockText"/>
        <w:numPr>
          <w:ilvl w:val="1"/>
          <w:numId w:val="2"/>
        </w:numPr>
        <w:spacing w:after="120"/>
        <w:ind w:left="426" w:right="-57"/>
        <w:jc w:val="both"/>
        <w:rPr>
          <w:sz w:val="28"/>
          <w:szCs w:val="28"/>
        </w:rPr>
      </w:pPr>
      <w:r w:rsidRPr="001A05AE">
        <w:rPr>
          <w:szCs w:val="24"/>
        </w:rPr>
        <w:t xml:space="preserve">Par pamatu līguma sagatavošanai un noslēgšanai tiks izmantots iepirkuma līguma projekts (saskaņā ar šī nolikuma </w:t>
      </w:r>
      <w:r>
        <w:rPr>
          <w:szCs w:val="24"/>
        </w:rPr>
        <w:t>5</w:t>
      </w:r>
      <w:r w:rsidRPr="001A05AE">
        <w:rPr>
          <w:szCs w:val="24"/>
        </w:rPr>
        <w:t>.pielikumu). Līguma projekta nosacījumi ir Pretendentam saistoši.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155667" w:rsidRPr="008015DC" w:rsidRDefault="001A05AE" w:rsidP="001A05AE">
      <w:pPr>
        <w:pStyle w:val="BlockText"/>
        <w:numPr>
          <w:ilvl w:val="1"/>
          <w:numId w:val="2"/>
        </w:numPr>
        <w:spacing w:after="120"/>
        <w:ind w:left="426" w:right="-57"/>
        <w:jc w:val="both"/>
        <w:rPr>
          <w:szCs w:val="24"/>
        </w:rPr>
      </w:pPr>
      <w:r w:rsidRPr="001A05AE">
        <w:rPr>
          <w:szCs w:val="24"/>
        </w:rPr>
        <w:t>Pasūtītājam ir tiesības noslēgt iepirkuma līgumu ar iepirkuma procedūras uzvarētāju nākamajā dienā pēc nogaidīšanas termiņa beigām. Līgums jānoslēdz 5 (piecu) darba dienu laikā no Pasūtītāja rakstiska pieprasījuma saņemšanas</w:t>
      </w:r>
      <w:r w:rsidR="00522927" w:rsidRPr="003144F2">
        <w:rPr>
          <w:szCs w:val="24"/>
        </w:rPr>
        <w:t xml:space="preserve">. </w:t>
      </w:r>
      <w:bookmarkEnd w:id="19"/>
    </w:p>
    <w:sectPr w:rsidR="00155667" w:rsidRPr="008015DC" w:rsidSect="005E55AA">
      <w:headerReference w:type="even" r:id="rId19"/>
      <w:headerReference w:type="default" r:id="rId20"/>
      <w:footerReference w:type="even" r:id="rId21"/>
      <w:footerReference w:type="default" r:id="rId22"/>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56" w:rsidRDefault="00EF5F56" w:rsidP="002303CF">
      <w:r>
        <w:separator/>
      </w:r>
    </w:p>
  </w:endnote>
  <w:endnote w:type="continuationSeparator" w:id="0">
    <w:p w:rsidR="00EF5F56" w:rsidRDefault="00EF5F5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EF5F56" w:rsidRDefault="00EF5F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64555"/>
      <w:docPartObj>
        <w:docPartGallery w:val="Page Numbers (Bottom of Page)"/>
        <w:docPartUnique/>
      </w:docPartObj>
    </w:sdtPr>
    <w:sdtEndPr>
      <w:rPr>
        <w:noProof/>
        <w:sz w:val="24"/>
        <w:szCs w:val="24"/>
      </w:rPr>
    </w:sdtEndPr>
    <w:sdtContent>
      <w:p w:rsidR="00EF5F56" w:rsidRPr="005935C9" w:rsidRDefault="00EF5F56">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22</w:t>
        </w:r>
        <w:r w:rsidRPr="005935C9">
          <w:rPr>
            <w:noProof/>
            <w:sz w:val="24"/>
            <w:szCs w:val="24"/>
          </w:rPr>
          <w:fldChar w:fldCharType="end"/>
        </w:r>
      </w:p>
    </w:sdtContent>
  </w:sdt>
  <w:p w:rsidR="00EF5F56" w:rsidRPr="00C1547C" w:rsidRDefault="00EF5F5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56" w:rsidRDefault="00EF5F56" w:rsidP="002303CF">
      <w:r>
        <w:separator/>
      </w:r>
    </w:p>
  </w:footnote>
  <w:footnote w:type="continuationSeparator" w:id="0">
    <w:p w:rsidR="00EF5F56" w:rsidRDefault="00EF5F56" w:rsidP="002303CF">
      <w:r>
        <w:continuationSeparator/>
      </w:r>
    </w:p>
  </w:footnote>
  <w:footnote w:id="1">
    <w:p w:rsidR="00EF5F56" w:rsidRPr="003144F2" w:rsidRDefault="00EF5F56"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EF5F56" w:rsidRPr="002451BC" w:rsidRDefault="00EF5F56" w:rsidP="00006413">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5F56" w:rsidRDefault="00EF5F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56" w:rsidRDefault="00EF5F56">
    <w:pPr>
      <w:pStyle w:val="Header"/>
      <w:framePr w:wrap="around" w:vAnchor="text" w:hAnchor="margin" w:xAlign="right" w:y="1"/>
      <w:rPr>
        <w:rStyle w:val="PageNumber"/>
      </w:rPr>
    </w:pPr>
  </w:p>
  <w:p w:rsidR="00EF5F56" w:rsidRDefault="00EF5F5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4A65CAD"/>
    <w:multiLevelType w:val="hybridMultilevel"/>
    <w:tmpl w:val="923ECD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2534FA"/>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123"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9"/>
  </w:num>
  <w:num w:numId="3">
    <w:abstractNumId w:val="21"/>
  </w:num>
  <w:num w:numId="4">
    <w:abstractNumId w:val="5"/>
  </w:num>
  <w:num w:numId="5">
    <w:abstractNumId w:val="11"/>
  </w:num>
  <w:num w:numId="6">
    <w:abstractNumId w:val="17"/>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5"/>
  </w:num>
  <w:num w:numId="15">
    <w:abstractNumId w:val="8"/>
  </w:num>
  <w:num w:numId="16">
    <w:abstractNumId w:val="18"/>
  </w:num>
  <w:num w:numId="17">
    <w:abstractNumId w:val="14"/>
  </w:num>
  <w:num w:numId="18">
    <w:abstractNumId w:val="16"/>
  </w:num>
  <w:num w:numId="19">
    <w:abstractNumId w:val="12"/>
  </w:num>
  <w:num w:numId="20">
    <w:abstractNumId w:val="13"/>
  </w:num>
  <w:num w:numId="21">
    <w:abstractNumId w:val="3"/>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05AE"/>
    <w:rsid w:val="001A1E90"/>
    <w:rsid w:val="001A2604"/>
    <w:rsid w:val="001A4028"/>
    <w:rsid w:val="001A419D"/>
    <w:rsid w:val="001A43EB"/>
    <w:rsid w:val="001A4CA7"/>
    <w:rsid w:val="001A5403"/>
    <w:rsid w:val="001B02E0"/>
    <w:rsid w:val="001B1587"/>
    <w:rsid w:val="001B1E0C"/>
    <w:rsid w:val="001B38CF"/>
    <w:rsid w:val="001B55FB"/>
    <w:rsid w:val="001B6CA8"/>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15B0"/>
    <w:rsid w:val="002423F7"/>
    <w:rsid w:val="0024249F"/>
    <w:rsid w:val="00243966"/>
    <w:rsid w:val="002451BC"/>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704"/>
    <w:rsid w:val="002B683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C42"/>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394F"/>
    <w:rsid w:val="003A43EA"/>
    <w:rsid w:val="003A6812"/>
    <w:rsid w:val="003A76CB"/>
    <w:rsid w:val="003A7943"/>
    <w:rsid w:val="003B1F99"/>
    <w:rsid w:val="003B45D4"/>
    <w:rsid w:val="003B5BEA"/>
    <w:rsid w:val="003B5CCA"/>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4D41"/>
    <w:rsid w:val="00425B64"/>
    <w:rsid w:val="004309A7"/>
    <w:rsid w:val="00430D61"/>
    <w:rsid w:val="004360D1"/>
    <w:rsid w:val="004379AB"/>
    <w:rsid w:val="00437FE8"/>
    <w:rsid w:val="0044046E"/>
    <w:rsid w:val="00442EA2"/>
    <w:rsid w:val="0044379E"/>
    <w:rsid w:val="004439DB"/>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84"/>
    <w:rsid w:val="004775CF"/>
    <w:rsid w:val="004804AA"/>
    <w:rsid w:val="00480BC9"/>
    <w:rsid w:val="00481B01"/>
    <w:rsid w:val="00481FCA"/>
    <w:rsid w:val="0048276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4EAF"/>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E7098"/>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046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34CC"/>
    <w:rsid w:val="005455DC"/>
    <w:rsid w:val="005457F2"/>
    <w:rsid w:val="0055159F"/>
    <w:rsid w:val="00552656"/>
    <w:rsid w:val="00553531"/>
    <w:rsid w:val="005537B4"/>
    <w:rsid w:val="00553A79"/>
    <w:rsid w:val="00560F56"/>
    <w:rsid w:val="005618AF"/>
    <w:rsid w:val="005626C4"/>
    <w:rsid w:val="005630F9"/>
    <w:rsid w:val="0056655D"/>
    <w:rsid w:val="0056699F"/>
    <w:rsid w:val="00566AB9"/>
    <w:rsid w:val="00566AD4"/>
    <w:rsid w:val="00567DAE"/>
    <w:rsid w:val="00572753"/>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55AA"/>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188C"/>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241"/>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37D48"/>
    <w:rsid w:val="00742E86"/>
    <w:rsid w:val="00742EF8"/>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5CC"/>
    <w:rsid w:val="0077060D"/>
    <w:rsid w:val="00771D5A"/>
    <w:rsid w:val="00772126"/>
    <w:rsid w:val="0077285C"/>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15DC"/>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3987"/>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1857"/>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27773"/>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3F7F"/>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29EE"/>
    <w:rsid w:val="009D4FBD"/>
    <w:rsid w:val="009D7399"/>
    <w:rsid w:val="009D7E9A"/>
    <w:rsid w:val="009E1726"/>
    <w:rsid w:val="009E22B4"/>
    <w:rsid w:val="009E2D59"/>
    <w:rsid w:val="009E3BCB"/>
    <w:rsid w:val="009E54AC"/>
    <w:rsid w:val="009E5DCA"/>
    <w:rsid w:val="009E6BAE"/>
    <w:rsid w:val="009E6F73"/>
    <w:rsid w:val="009E76BE"/>
    <w:rsid w:val="009F1015"/>
    <w:rsid w:val="009F163B"/>
    <w:rsid w:val="009F2582"/>
    <w:rsid w:val="009F44C1"/>
    <w:rsid w:val="009F4658"/>
    <w:rsid w:val="009F4D75"/>
    <w:rsid w:val="009F67A4"/>
    <w:rsid w:val="009F6D6B"/>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8BE"/>
    <w:rsid w:val="00A66FFC"/>
    <w:rsid w:val="00A7040E"/>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45D5"/>
    <w:rsid w:val="00AC5358"/>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EB4"/>
    <w:rsid w:val="00B45F4F"/>
    <w:rsid w:val="00B46360"/>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E6EA7"/>
    <w:rsid w:val="00BF0C4F"/>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4171"/>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6D43"/>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4F5E"/>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3E6D"/>
    <w:rsid w:val="00DE5C3F"/>
    <w:rsid w:val="00DE6DB0"/>
    <w:rsid w:val="00DE7BCB"/>
    <w:rsid w:val="00DF0185"/>
    <w:rsid w:val="00DF0478"/>
    <w:rsid w:val="00DF3C5F"/>
    <w:rsid w:val="00DF4580"/>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5F56"/>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365E"/>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67F1C"/>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71A"/>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75105"/>
    <o:shapelayout v:ext="edit">
      <o:idmap v:ext="edit" data="1"/>
    </o:shapelayout>
  </w:shapeDefaults>
  <w:decimalSymbol w:val=","/>
  <w:listSeparator w:val=";"/>
  <w14:docId w14:val="47F3B5A9"/>
  <w15:docId w15:val="{B78E10F6-8754-42B1-9ABB-CA2E7E6E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 w:type="character" w:styleId="UnresolvedMention">
    <w:name w:val="Unresolved Mention"/>
    <w:basedOn w:val="DefaultParagraphFont"/>
    <w:uiPriority w:val="99"/>
    <w:semiHidden/>
    <w:unhideWhenUsed/>
    <w:rsid w:val="002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362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portofventspils.lv/lv/publiskie-iepirkumi" TargetMode="External"/><Relationship Id="rId18" Type="http://schemas.openxmlformats.org/officeDocument/2006/relationships/hyperlink" Target="http://sankcijas.kd.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munds@vbp.lv" TargetMode="External"/><Relationship Id="rId14" Type="http://schemas.openxmlformats.org/officeDocument/2006/relationships/hyperlink" Target="http://www.eis.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87369-8E10-4C74-B1C5-AFA0DF16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5930</TotalTime>
  <Pages>16</Pages>
  <Words>28480</Words>
  <Characters>16234</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44625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Renāte Dzērviniece</cp:lastModifiedBy>
  <cp:revision>59</cp:revision>
  <cp:lastPrinted>2018-11-22T12:40:00Z</cp:lastPrinted>
  <dcterms:created xsi:type="dcterms:W3CDTF">2017-12-21T12:42:00Z</dcterms:created>
  <dcterms:modified xsi:type="dcterms:W3CDTF">2018-12-07T07:14:00Z</dcterms:modified>
</cp:coreProperties>
</file>