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5037FDE7" w:rsidR="001902DE" w:rsidRPr="00BB3577" w:rsidRDefault="004677CD"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20</w:t>
      </w:r>
      <w:r w:rsidR="004C3F7E">
        <w:rPr>
          <w:rFonts w:ascii="Times New Roman" w:eastAsia="Times New Roman" w:hAnsi="Times New Roman" w:cs="Times New Roman"/>
          <w:color w:val="000000"/>
          <w:sz w:val="24"/>
          <w:szCs w:val="24"/>
        </w:rPr>
        <w:t>20</w:t>
      </w:r>
      <w:r w:rsidR="001902DE" w:rsidRPr="00BB3577">
        <w:rPr>
          <w:rFonts w:ascii="Times New Roman" w:eastAsia="Times New Roman" w:hAnsi="Times New Roman" w:cs="Times New Roman"/>
          <w:color w:val="000000"/>
          <w:sz w:val="24"/>
          <w:szCs w:val="24"/>
        </w:rPr>
        <w:t>.</w:t>
      </w:r>
      <w:r w:rsidR="004C3F7E">
        <w:rPr>
          <w:rFonts w:ascii="Times New Roman" w:eastAsia="Times New Roman" w:hAnsi="Times New Roman" w:cs="Times New Roman"/>
          <w:color w:val="000000"/>
          <w:sz w:val="24"/>
          <w:szCs w:val="24"/>
        </w:rPr>
        <w:t xml:space="preserve"> </w:t>
      </w:r>
      <w:r w:rsidR="001902DE" w:rsidRPr="006F20EB">
        <w:rPr>
          <w:rFonts w:ascii="Times New Roman" w:eastAsia="Times New Roman" w:hAnsi="Times New Roman" w:cs="Times New Roman"/>
          <w:color w:val="000000"/>
          <w:sz w:val="24"/>
          <w:szCs w:val="24"/>
        </w:rPr>
        <w:t>gada</w:t>
      </w:r>
      <w:r w:rsidR="003D4A67" w:rsidRPr="006F20EB">
        <w:rPr>
          <w:rFonts w:ascii="Times New Roman" w:eastAsia="Times New Roman" w:hAnsi="Times New Roman" w:cs="Times New Roman"/>
          <w:color w:val="000000"/>
          <w:sz w:val="24"/>
          <w:szCs w:val="24"/>
        </w:rPr>
        <w:t xml:space="preserve"> 3.septembrī</w:t>
      </w:r>
      <w:r w:rsidR="001902DE" w:rsidRPr="00BB3577">
        <w:rPr>
          <w:rFonts w:ascii="Times New Roman" w:eastAsia="Times New Roman" w:hAnsi="Times New Roman" w:cs="Times New Roman"/>
          <w:color w:val="000000"/>
          <w:sz w:val="24"/>
          <w:szCs w:val="24"/>
        </w:rPr>
        <w:t xml:space="preserve"> </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 xml:space="preserve">Ventspils brīvostas pārvaldes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3BA26FC7"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w:t>
      </w:r>
      <w:r w:rsidR="001E1C7B">
        <w:rPr>
          <w:rFonts w:ascii="Times New Roman" w:eastAsia="Times New Roman" w:hAnsi="Times New Roman" w:cs="Times New Roman"/>
          <w:b/>
          <w:color w:val="000000"/>
          <w:sz w:val="24"/>
          <w:szCs w:val="24"/>
        </w:rPr>
        <w:t xml:space="preserve">IHC grunts uztvērēja remonts </w:t>
      </w:r>
      <w:proofErr w:type="spellStart"/>
      <w:r w:rsidR="001E1C7B">
        <w:rPr>
          <w:rFonts w:ascii="Times New Roman" w:eastAsia="Times New Roman" w:hAnsi="Times New Roman" w:cs="Times New Roman"/>
          <w:b/>
          <w:color w:val="000000"/>
          <w:sz w:val="24"/>
          <w:szCs w:val="24"/>
        </w:rPr>
        <w:t>gruntssūcējam</w:t>
      </w:r>
      <w:proofErr w:type="spellEnd"/>
      <w:r w:rsidR="001E1C7B">
        <w:rPr>
          <w:rFonts w:ascii="Times New Roman" w:eastAsia="Times New Roman" w:hAnsi="Times New Roman" w:cs="Times New Roman"/>
          <w:b/>
          <w:color w:val="000000"/>
          <w:sz w:val="24"/>
          <w:szCs w:val="24"/>
        </w:rPr>
        <w:t xml:space="preserve">  DZELME</w:t>
      </w:r>
      <w:r w:rsidR="003D4A67">
        <w:rPr>
          <w:rFonts w:ascii="Times New Roman" w:eastAsia="Times New Roman" w:hAnsi="Times New Roman" w:cs="Times New Roman"/>
          <w:b/>
          <w:color w:val="000000"/>
          <w:sz w:val="24"/>
          <w:szCs w:val="24"/>
        </w:rPr>
        <w:t>,</w:t>
      </w:r>
      <w:r w:rsidR="001E1C7B">
        <w:rPr>
          <w:rFonts w:ascii="Times New Roman" w:eastAsia="Times New Roman" w:hAnsi="Times New Roman" w:cs="Times New Roman"/>
          <w:b/>
          <w:color w:val="000000"/>
          <w:sz w:val="24"/>
          <w:szCs w:val="24"/>
        </w:rPr>
        <w:t xml:space="preserve"> Ventspilī</w:t>
      </w:r>
      <w:r w:rsidR="00B0200B" w:rsidRPr="00BB3577">
        <w:rPr>
          <w:rFonts w:ascii="Times New Roman" w:eastAsia="Times New Roman" w:hAnsi="Times New Roman" w:cs="Times New Roman"/>
          <w:b/>
          <w:color w:val="000000"/>
          <w:sz w:val="24"/>
          <w:szCs w:val="24"/>
        </w:rPr>
        <w:t>”</w:t>
      </w:r>
    </w:p>
    <w:p w14:paraId="00BE8C42" w14:textId="6EAF1416"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3D4A67">
        <w:rPr>
          <w:rFonts w:ascii="Times New Roman" w:eastAsia="Times New Roman" w:hAnsi="Times New Roman" w:cs="Times New Roman"/>
          <w:b/>
          <w:color w:val="000000"/>
          <w:sz w:val="24"/>
          <w:szCs w:val="24"/>
        </w:rPr>
        <w:t>87</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01989322" w14:textId="77777777" w:rsidR="00B0200B" w:rsidRPr="00BB3577" w:rsidRDefault="00B0200B" w:rsidP="00B0200B">
      <w:pPr>
        <w:spacing w:after="0" w:line="240" w:lineRule="auto"/>
        <w:jc w:val="both"/>
        <w:rPr>
          <w:rFonts w:ascii="Times New Roman" w:eastAsia="Times New Roman" w:hAnsi="Times New Roman" w:cs="Times New Roman"/>
          <w:b/>
          <w:bCs/>
          <w:color w:val="000000"/>
          <w:sz w:val="24"/>
          <w:szCs w:val="24"/>
        </w:rPr>
      </w:pP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E64875" w:rsidP="00AD5A64">
            <w:pPr>
              <w:overflowPunct w:val="0"/>
              <w:autoSpaceDE w:val="0"/>
              <w:autoSpaceDN w:val="0"/>
              <w:adjustRightInd w:val="0"/>
              <w:spacing w:after="0"/>
              <w:textAlignment w:val="baseline"/>
              <w:rPr>
                <w:rFonts w:ascii="Times New Roman" w:hAnsi="Times New Roman" w:cs="Times New Roman"/>
                <w:sz w:val="24"/>
                <w:szCs w:val="24"/>
              </w:rPr>
            </w:pPr>
            <w:hyperlink r:id="rId11"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Kontaktpersona </w:t>
            </w:r>
          </w:p>
        </w:tc>
        <w:tc>
          <w:tcPr>
            <w:tcW w:w="5529" w:type="dxa"/>
            <w:vAlign w:val="center"/>
          </w:tcPr>
          <w:p w14:paraId="48FBFB32" w14:textId="07BA4219" w:rsidR="0002681A" w:rsidRPr="002B3473" w:rsidRDefault="008B29A2" w:rsidP="00F454AF">
            <w:pPr>
              <w:overflowPunct w:val="0"/>
              <w:autoSpaceDE w:val="0"/>
              <w:autoSpaceDN w:val="0"/>
              <w:adjustRightInd w:val="0"/>
              <w:spacing w:after="0"/>
              <w:textAlignment w:val="baseline"/>
              <w:rPr>
                <w:rFonts w:ascii="Times New Roman" w:hAnsi="Times New Roman" w:cs="Times New Roman"/>
                <w:sz w:val="24"/>
                <w:szCs w:val="24"/>
              </w:rPr>
            </w:pPr>
            <w:r>
              <w:rPr>
                <w:rFonts w:ascii="Times New Roman" w:eastAsia="Calibri" w:hAnsi="Times New Roman" w:cs="Times New Roman"/>
                <w:sz w:val="24"/>
                <w:szCs w:val="24"/>
              </w:rPr>
              <w:t xml:space="preserve">Uldis Mucenieks, mob. +371 26358771, e-pasta adrese, </w:t>
            </w:r>
            <w:hyperlink r:id="rId12" w:history="1">
              <w:r>
                <w:rPr>
                  <w:rStyle w:val="Hyperlink"/>
                  <w:rFonts w:ascii="Times New Roman" w:eastAsia="Calibri" w:hAnsi="Times New Roman" w:cs="Times New Roman"/>
                  <w:sz w:val="24"/>
                  <w:szCs w:val="24"/>
                </w:rPr>
                <w:t>uldis.mucenieks@vbp.lv</w:t>
              </w:r>
            </w:hyperlink>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2B3473">
            <w:pPr>
              <w:overflowPunct w:val="0"/>
              <w:autoSpaceDE w:val="0"/>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0F145D04" w:rsidR="001D2183" w:rsidRPr="003D4A67"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 xml:space="preserve">Nr. </w:t>
      </w:r>
      <w:r w:rsidR="00A924AD" w:rsidRPr="003D4A67">
        <w:rPr>
          <w:rFonts w:ascii="Times New Roman" w:eastAsia="Times New Roman" w:hAnsi="Times New Roman" w:cs="Times New Roman"/>
          <w:sz w:val="24"/>
          <w:szCs w:val="24"/>
        </w:rPr>
        <w:t>VBOP 20</w:t>
      </w:r>
      <w:r w:rsidR="00BC105E" w:rsidRPr="003D4A67">
        <w:rPr>
          <w:rFonts w:ascii="Times New Roman" w:eastAsia="Times New Roman" w:hAnsi="Times New Roman" w:cs="Times New Roman"/>
          <w:sz w:val="24"/>
          <w:szCs w:val="24"/>
        </w:rPr>
        <w:t>20</w:t>
      </w:r>
      <w:r w:rsidR="00A924AD" w:rsidRPr="003D4A67">
        <w:rPr>
          <w:rFonts w:ascii="Times New Roman" w:eastAsia="Times New Roman" w:hAnsi="Times New Roman" w:cs="Times New Roman"/>
          <w:sz w:val="24"/>
          <w:szCs w:val="24"/>
        </w:rPr>
        <w:t>/</w:t>
      </w:r>
      <w:r w:rsidR="003D4A67" w:rsidRPr="003D4A67">
        <w:rPr>
          <w:rFonts w:ascii="Times New Roman" w:eastAsia="Times New Roman" w:hAnsi="Times New Roman" w:cs="Times New Roman"/>
          <w:sz w:val="24"/>
          <w:szCs w:val="24"/>
        </w:rPr>
        <w:t>87</w:t>
      </w:r>
    </w:p>
    <w:p w14:paraId="7F2B0646" w14:textId="5884C746" w:rsidR="001D2183" w:rsidRPr="00BB3577"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16CE7E7C" w:rsidR="00A924AD" w:rsidRPr="00BB3577"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700D63">
      <w:pPr>
        <w:spacing w:after="0" w:line="240" w:lineRule="auto"/>
        <w:ind w:left="360" w:hanging="578"/>
        <w:jc w:val="both"/>
        <w:rPr>
          <w:rFonts w:ascii="Times New Roman" w:eastAsia="Times New Roman" w:hAnsi="Times New Roman" w:cs="Times New Roman"/>
          <w:b/>
          <w:caps/>
          <w:sz w:val="24"/>
          <w:szCs w:val="24"/>
        </w:rPr>
      </w:pPr>
    </w:p>
    <w:p w14:paraId="2A27F5F0" w14:textId="77777777" w:rsidR="0049639C" w:rsidRPr="00BB3577" w:rsidRDefault="00B0200B" w:rsidP="00026B8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508DBEC9" w:rsidR="00026B82" w:rsidRPr="00B50CA8" w:rsidRDefault="00D649E8" w:rsidP="000C54C7">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Grunts uztvērēja remonts g/s DZELME</w:t>
      </w:r>
      <w:r w:rsidR="007A27C0">
        <w:rPr>
          <w:rFonts w:ascii="Times New Roman" w:eastAsia="Times New Roman" w:hAnsi="Times New Roman" w:cs="Times New Roman"/>
          <w:sz w:val="24"/>
          <w:szCs w:val="24"/>
          <w:lang w:eastAsia="lv-LV"/>
        </w:rPr>
        <w:t xml:space="preserve">, turpmāk – </w:t>
      </w:r>
      <w:r>
        <w:rPr>
          <w:rFonts w:ascii="Times New Roman" w:eastAsia="Times New Roman" w:hAnsi="Times New Roman" w:cs="Times New Roman"/>
          <w:sz w:val="24"/>
          <w:szCs w:val="24"/>
          <w:lang w:eastAsia="lv-LV"/>
        </w:rPr>
        <w:t>remonts</w:t>
      </w:r>
      <w:r w:rsidR="007A27C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veicams darba aprakstā  noteiktajā apjomā</w:t>
      </w:r>
      <w:r w:rsidR="000C54C7" w:rsidRPr="00B50CA8">
        <w:rPr>
          <w:rFonts w:ascii="Times New Roman" w:eastAsia="Times New Roman" w:hAnsi="Times New Roman" w:cs="Times New Roman"/>
          <w:sz w:val="24"/>
          <w:szCs w:val="24"/>
          <w:lang w:eastAsia="lv-LV"/>
        </w:rPr>
        <w:t xml:space="preserve"> (1.pielikums).</w:t>
      </w:r>
    </w:p>
    <w:p w14:paraId="1CD14215" w14:textId="0AD5D7CD" w:rsidR="00B50CA8" w:rsidRPr="005537EC" w:rsidRDefault="00D649E8"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 xml:space="preserve">Remonts jāveic 7 </w:t>
      </w:r>
      <w:r w:rsidR="00EA38F9">
        <w:rPr>
          <w:rFonts w:ascii="Times New Roman" w:eastAsia="Times New Roman" w:hAnsi="Times New Roman" w:cs="Times New Roman"/>
          <w:sz w:val="24"/>
          <w:szCs w:val="24"/>
          <w:lang w:eastAsia="lv-LV"/>
        </w:rPr>
        <w:t xml:space="preserve">(septiņu) </w:t>
      </w:r>
      <w:r>
        <w:rPr>
          <w:rFonts w:ascii="Times New Roman" w:eastAsia="Times New Roman" w:hAnsi="Times New Roman" w:cs="Times New Roman"/>
          <w:sz w:val="24"/>
          <w:szCs w:val="24"/>
          <w:lang w:eastAsia="lv-LV"/>
        </w:rPr>
        <w:t>dienu laikā</w:t>
      </w:r>
      <w:r w:rsidR="0066704C">
        <w:rPr>
          <w:rFonts w:ascii="Times New Roman" w:eastAsia="Times New Roman" w:hAnsi="Times New Roman" w:cs="Times New Roman"/>
          <w:sz w:val="24"/>
          <w:szCs w:val="24"/>
          <w:lang w:eastAsia="lv-LV"/>
        </w:rPr>
        <w:t xml:space="preserve"> pēc līguma noslēgšanas</w:t>
      </w:r>
      <w:r w:rsidR="001639D0" w:rsidRPr="00B50CA8">
        <w:rPr>
          <w:rFonts w:ascii="Times New Roman" w:eastAsia="Times New Roman" w:hAnsi="Times New Roman" w:cs="Times New Roman"/>
          <w:color w:val="000000"/>
          <w:sz w:val="24"/>
          <w:szCs w:val="24"/>
        </w:rPr>
        <w:t>.</w:t>
      </w:r>
    </w:p>
    <w:p w14:paraId="22E0E53D" w14:textId="6FBA84BE" w:rsidR="005537EC" w:rsidRPr="005537EC" w:rsidRDefault="00D649E8"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 xml:space="preserve">Garantijas laiks – 6 </w:t>
      </w:r>
      <w:r w:rsidR="00EA38F9">
        <w:rPr>
          <w:rFonts w:ascii="Times New Roman" w:eastAsia="Times New Roman" w:hAnsi="Times New Roman" w:cs="Times New Roman"/>
          <w:color w:val="000000"/>
          <w:sz w:val="24"/>
          <w:szCs w:val="24"/>
        </w:rPr>
        <w:t xml:space="preserve">(seši) </w:t>
      </w:r>
      <w:r>
        <w:rPr>
          <w:rFonts w:ascii="Times New Roman" w:eastAsia="Times New Roman" w:hAnsi="Times New Roman" w:cs="Times New Roman"/>
          <w:color w:val="000000"/>
          <w:sz w:val="24"/>
          <w:szCs w:val="24"/>
        </w:rPr>
        <w:t>mēneši</w:t>
      </w:r>
      <w:r w:rsidR="005537EC">
        <w:rPr>
          <w:rFonts w:ascii="Times New Roman" w:eastAsia="Times New Roman" w:hAnsi="Times New Roman" w:cs="Times New Roman"/>
          <w:color w:val="000000"/>
          <w:sz w:val="24"/>
          <w:szCs w:val="24"/>
        </w:rPr>
        <w:t xml:space="preserve"> no </w:t>
      </w:r>
      <w:r>
        <w:rPr>
          <w:rFonts w:ascii="Times New Roman" w:eastAsia="Times New Roman" w:hAnsi="Times New Roman" w:cs="Times New Roman"/>
          <w:color w:val="000000"/>
          <w:sz w:val="24"/>
          <w:szCs w:val="24"/>
        </w:rPr>
        <w:t xml:space="preserve">grunts </w:t>
      </w:r>
      <w:proofErr w:type="spellStart"/>
      <w:r>
        <w:rPr>
          <w:rFonts w:ascii="Times New Roman" w:eastAsia="Times New Roman" w:hAnsi="Times New Roman" w:cs="Times New Roman"/>
          <w:color w:val="000000"/>
          <w:sz w:val="24"/>
          <w:szCs w:val="24"/>
        </w:rPr>
        <w:t>uztvēŗēja</w:t>
      </w:r>
      <w:proofErr w:type="spellEnd"/>
      <w:r>
        <w:rPr>
          <w:rFonts w:ascii="Times New Roman" w:eastAsia="Times New Roman" w:hAnsi="Times New Roman" w:cs="Times New Roman"/>
          <w:color w:val="000000"/>
          <w:sz w:val="24"/>
          <w:szCs w:val="24"/>
        </w:rPr>
        <w:t xml:space="preserve"> </w:t>
      </w:r>
      <w:r w:rsidR="0066704C">
        <w:rPr>
          <w:rFonts w:ascii="Times New Roman" w:eastAsia="Times New Roman" w:hAnsi="Times New Roman" w:cs="Times New Roman"/>
          <w:color w:val="000000"/>
          <w:sz w:val="24"/>
          <w:szCs w:val="24"/>
        </w:rPr>
        <w:t>uzstādīšanas brīža</w:t>
      </w:r>
      <w:r w:rsidR="005537EC">
        <w:rPr>
          <w:rFonts w:ascii="Times New Roman" w:eastAsia="Times New Roman" w:hAnsi="Times New Roman" w:cs="Times New Roman"/>
          <w:color w:val="000000"/>
          <w:sz w:val="24"/>
          <w:szCs w:val="24"/>
        </w:rPr>
        <w:t>.</w:t>
      </w:r>
    </w:p>
    <w:p w14:paraId="28C7252F" w14:textId="19F3E884" w:rsidR="005537EC" w:rsidRPr="005537EC" w:rsidRDefault="008049CF" w:rsidP="005537EC">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color w:val="000000"/>
          <w:sz w:val="24"/>
          <w:szCs w:val="24"/>
        </w:rPr>
        <w:t>U</w:t>
      </w:r>
      <w:r w:rsidR="0066704C">
        <w:rPr>
          <w:rFonts w:ascii="Times New Roman" w:eastAsia="Times New Roman" w:hAnsi="Times New Roman" w:cs="Times New Roman"/>
          <w:color w:val="000000"/>
          <w:sz w:val="24"/>
          <w:szCs w:val="24"/>
        </w:rPr>
        <w:t>zstādīšanas vieta</w:t>
      </w:r>
      <w:r>
        <w:rPr>
          <w:rFonts w:ascii="Times New Roman" w:eastAsia="Times New Roman" w:hAnsi="Times New Roman" w:cs="Times New Roman"/>
          <w:color w:val="000000"/>
          <w:sz w:val="24"/>
          <w:szCs w:val="24"/>
        </w:rPr>
        <w:t xml:space="preserve"> – </w:t>
      </w:r>
      <w:proofErr w:type="spellStart"/>
      <w:r>
        <w:rPr>
          <w:rFonts w:ascii="Times New Roman" w:eastAsia="Times New Roman" w:hAnsi="Times New Roman" w:cs="Times New Roman"/>
          <w:color w:val="000000"/>
          <w:sz w:val="24"/>
          <w:szCs w:val="24"/>
        </w:rPr>
        <w:t>gruntssūcējs</w:t>
      </w:r>
      <w:proofErr w:type="spellEnd"/>
      <w:r>
        <w:rPr>
          <w:rFonts w:ascii="Times New Roman" w:eastAsia="Times New Roman" w:hAnsi="Times New Roman" w:cs="Times New Roman"/>
          <w:color w:val="000000"/>
          <w:sz w:val="24"/>
          <w:szCs w:val="24"/>
        </w:rPr>
        <w:t xml:space="preserve"> DZELME Ventspils ostā, piestātni precizēt pirms uzstādīšanas</w:t>
      </w:r>
      <w:r w:rsidR="005537EC">
        <w:rPr>
          <w:rFonts w:ascii="Times New Roman" w:eastAsia="Times New Roman" w:hAnsi="Times New Roman" w:cs="Times New Roman"/>
          <w:color w:val="000000"/>
          <w:sz w:val="24"/>
          <w:szCs w:val="24"/>
        </w:rPr>
        <w:t>.</w:t>
      </w:r>
    </w:p>
    <w:p w14:paraId="7AEA559C" w14:textId="77777777" w:rsidR="001E3E6A" w:rsidRPr="001E3E6A" w:rsidRDefault="001E3E6A"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hAnsi="Times New Roman"/>
          <w:sz w:val="24"/>
          <w:szCs w:val="24"/>
        </w:rPr>
        <w:t xml:space="preserve">Avanss </w:t>
      </w:r>
      <w:r w:rsidR="00123EB5">
        <w:rPr>
          <w:rFonts w:ascii="Times New Roman" w:hAnsi="Times New Roman"/>
          <w:sz w:val="24"/>
          <w:szCs w:val="24"/>
        </w:rPr>
        <w:t xml:space="preserve">netiek paredzēts. </w:t>
      </w:r>
    </w:p>
    <w:p w14:paraId="0AE34433" w14:textId="77777777" w:rsidR="00B712F3" w:rsidRPr="00B712F3"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lastRenderedPageBreak/>
        <w:t xml:space="preserve">                                                                                                                                                                                                                                                              </w:t>
      </w:r>
    </w:p>
    <w:p w14:paraId="0A92381B" w14:textId="77777777" w:rsidR="003C7635" w:rsidRPr="00BB3577"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7777777" w:rsidR="006F5A73" w:rsidRPr="007E65DE" w:rsidRDefault="006F5A73" w:rsidP="006F5A73">
      <w:pPr>
        <w:pStyle w:val="ListParagraph"/>
        <w:numPr>
          <w:ilvl w:val="1"/>
          <w:numId w:val="15"/>
        </w:numPr>
        <w:spacing w:after="0" w:line="240" w:lineRule="auto"/>
        <w:ind w:hanging="578"/>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359107" w14:textId="7646F1D2" w:rsidR="000C54C7"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49D09DD" w:rsidR="006F5A73" w:rsidRPr="008E3FCC" w:rsidRDefault="006F5A73" w:rsidP="006F5A73">
      <w:pPr>
        <w:pStyle w:val="ListParagraph"/>
        <w:numPr>
          <w:ilvl w:val="1"/>
          <w:numId w:val="15"/>
        </w:numPr>
        <w:spacing w:after="0" w:line="240" w:lineRule="auto"/>
        <w:ind w:left="709" w:hanging="567"/>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B42C9">
        <w:rPr>
          <w:rFonts w:ascii="Times New Roman" w:hAnsi="Times New Roman" w:cs="Times New Roman"/>
          <w:sz w:val="24"/>
          <w:szCs w:val="24"/>
        </w:rPr>
        <w:t xml:space="preserve">(veidlapa pieejama </w:t>
      </w:r>
      <w:hyperlink r:id="rId13" w:history="1">
        <w:r w:rsidR="002B3473" w:rsidRPr="00CB42C9">
          <w:rPr>
            <w:rFonts w:ascii="Times New Roman" w:hAnsi="Times New Roman" w:cs="Times New Roman"/>
            <w:sz w:val="24"/>
            <w:szCs w:val="24"/>
            <w:u w:val="single"/>
            <w:lang w:eastAsia="lv-LV"/>
          </w:rPr>
          <w:t>http://espd.eis.gov.lv/</w:t>
        </w:r>
      </w:hyperlink>
      <w:r w:rsidR="002B3473" w:rsidRPr="00CB42C9">
        <w:rPr>
          <w:rFonts w:ascii="Times New Roman" w:hAnsi="Times New Roman" w:cs="Times New Roman"/>
          <w:sz w:val="24"/>
          <w:szCs w:val="24"/>
          <w:lang w:eastAsia="lv-LV"/>
        </w:rPr>
        <w:t>)</w:t>
      </w:r>
      <w:r w:rsidR="002B3473" w:rsidRPr="00CB42C9">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39C05D0E" w:rsidR="006F5A73" w:rsidRDefault="006F5A73"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23BEA8AC" w14:textId="77777777" w:rsidR="00CA6EE0" w:rsidRPr="00BB3577" w:rsidRDefault="00CA6EE0" w:rsidP="006F5A73">
      <w:pPr>
        <w:tabs>
          <w:tab w:val="left" w:pos="851"/>
        </w:tabs>
        <w:spacing w:after="0" w:line="240" w:lineRule="auto"/>
        <w:ind w:left="720"/>
        <w:jc w:val="both"/>
        <w:rPr>
          <w:rFonts w:ascii="Times New Roman" w:eastAsia="Times New Roman" w:hAnsi="Times New Roman" w:cs="Times New Roman"/>
          <w:sz w:val="24"/>
          <w:szCs w:val="24"/>
          <w:lang w:eastAsia="lv-LV"/>
        </w:rPr>
      </w:pPr>
    </w:p>
    <w:p w14:paraId="681009EF" w14:textId="77777777" w:rsidR="00A21E15" w:rsidRPr="00BB3577"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348C450B" w:rsidR="00B0200B" w:rsidRPr="00BB3577"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BB3577">
        <w:rPr>
          <w:rFonts w:ascii="Times New Roman" w:eastAsia="Times New Roman" w:hAnsi="Times New Roman" w:cs="Times New Roman"/>
          <w:sz w:val="24"/>
          <w:szCs w:val="24"/>
        </w:rPr>
        <w:t>Piedāvājumu var iesniegt personīgi vai nosūtīt pa pastu ar piegādi un izsniegšanu Komisijas sekretārei līdz 20</w:t>
      </w:r>
      <w:r w:rsidR="00EB072B">
        <w:rPr>
          <w:rFonts w:ascii="Times New Roman" w:eastAsia="Times New Roman" w:hAnsi="Times New Roman" w:cs="Times New Roman"/>
          <w:sz w:val="24"/>
          <w:szCs w:val="24"/>
        </w:rPr>
        <w:t>20</w:t>
      </w:r>
      <w:r w:rsidRPr="00BB3577">
        <w:rPr>
          <w:rFonts w:ascii="Times New Roman" w:eastAsia="Times New Roman" w:hAnsi="Times New Roman" w:cs="Times New Roman"/>
          <w:sz w:val="24"/>
          <w:szCs w:val="24"/>
        </w:rPr>
        <w:t>.gada</w:t>
      </w:r>
      <w:r w:rsidR="003D4A67">
        <w:rPr>
          <w:rFonts w:ascii="Times New Roman" w:eastAsia="Times New Roman" w:hAnsi="Times New Roman" w:cs="Times New Roman"/>
          <w:sz w:val="24"/>
          <w:szCs w:val="24"/>
        </w:rPr>
        <w:t xml:space="preserve"> 10.septembrim </w:t>
      </w:r>
      <w:proofErr w:type="spellStart"/>
      <w:r w:rsidR="003D4A67">
        <w:rPr>
          <w:rFonts w:ascii="Times New Roman" w:eastAsia="Times New Roman" w:hAnsi="Times New Roman" w:cs="Times New Roman"/>
          <w:sz w:val="24"/>
          <w:szCs w:val="24"/>
        </w:rPr>
        <w:t>plkst</w:t>
      </w:r>
      <w:proofErr w:type="spellEnd"/>
      <w:r w:rsidR="003D4A67">
        <w:rPr>
          <w:rFonts w:ascii="Times New Roman" w:eastAsia="Times New Roman" w:hAnsi="Times New Roman" w:cs="Times New Roman"/>
          <w:sz w:val="24"/>
          <w:szCs w:val="24"/>
        </w:rPr>
        <w:t xml:space="preserve"> 10</w:t>
      </w:r>
      <w:r w:rsidR="003D4A67" w:rsidRPr="003D4A67">
        <w:rPr>
          <w:rFonts w:ascii="Times New Roman" w:eastAsia="Times New Roman" w:hAnsi="Times New Roman" w:cs="Times New Roman"/>
          <w:sz w:val="24"/>
          <w:szCs w:val="24"/>
          <w:vertAlign w:val="superscript"/>
        </w:rPr>
        <w:t>00</w:t>
      </w:r>
      <w:r w:rsidRPr="003D4A67">
        <w:rPr>
          <w:rFonts w:ascii="Times New Roman" w:eastAsia="Times New Roman" w:hAnsi="Times New Roman" w:cs="Times New Roman"/>
          <w:sz w:val="24"/>
          <w:szCs w:val="24"/>
        </w:rPr>
        <w:t>,</w:t>
      </w:r>
      <w:r w:rsidRPr="00BB3577">
        <w:rPr>
          <w:rFonts w:ascii="Times New Roman" w:eastAsia="Times New Roman" w:hAnsi="Times New Roman" w:cs="Times New Roman"/>
          <w:sz w:val="24"/>
          <w:szCs w:val="24"/>
        </w:rPr>
        <w:t xml:space="preserve"> Ventspils brīvostas pārvaldē, Jāņa ielā 19, Ventspilī 202.kabinetā darba dienās no plkst. 8</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12</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un no plkst. 13</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xml:space="preserve"> līdz 17</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piektdienās līdz plkst.16</w:t>
      </w:r>
      <w:r w:rsidRPr="00BB3577">
        <w:rPr>
          <w:rFonts w:ascii="Times New Roman" w:eastAsia="Times New Roman" w:hAnsi="Times New Roman" w:cs="Times New Roman"/>
          <w:sz w:val="24"/>
          <w:szCs w:val="24"/>
          <w:vertAlign w:val="superscript"/>
        </w:rPr>
        <w:t>00</w:t>
      </w:r>
      <w:r w:rsidRPr="00BB3577">
        <w:rPr>
          <w:rFonts w:ascii="Times New Roman" w:eastAsia="Times New Roman" w:hAnsi="Times New Roman" w:cs="Times New Roman"/>
          <w:sz w:val="24"/>
          <w:szCs w:val="24"/>
        </w:rPr>
        <w:t>. Saņemot piedāvājumu, Komisijas sekretāre uz piedāvājuma atzīmē tā iesniegšanas datumu un laiku</w:t>
      </w:r>
      <w:r w:rsidRPr="00BB3577">
        <w:rPr>
          <w:rFonts w:ascii="Times New Roman" w:eastAsia="Times New Roman" w:hAnsi="Times New Roman" w:cs="Times New Roman"/>
          <w:bCs/>
          <w:color w:val="000000"/>
          <w:sz w:val="24"/>
          <w:szCs w:val="24"/>
        </w:rPr>
        <w:t>.</w:t>
      </w:r>
    </w:p>
    <w:p w14:paraId="78E16C31"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04418E5E" w:rsidR="00B0200B" w:rsidRPr="00BB3577" w:rsidRDefault="00B0200B" w:rsidP="002237A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iesniegšana nozīmē Pretendenta godprātīgu nodomu piedalīties iepirkumā un visu Iepirkuma dokumentu prasību akceptēšanu. Piedāvājums ir juridiski saistošs Pretendentam, kas to </w:t>
      </w:r>
      <w:r w:rsidRPr="003D4A67">
        <w:rPr>
          <w:rFonts w:ascii="Times New Roman" w:eastAsia="Times New Roman" w:hAnsi="Times New Roman" w:cs="Times New Roman"/>
          <w:sz w:val="24"/>
          <w:szCs w:val="24"/>
          <w:lang w:eastAsia="lv-LV"/>
        </w:rPr>
        <w:t>iesniedzis</w:t>
      </w:r>
      <w:r w:rsidR="00EB072B" w:rsidRPr="003D4A67">
        <w:rPr>
          <w:rFonts w:ascii="Times New Roman" w:eastAsia="Times New Roman" w:hAnsi="Times New Roman" w:cs="Times New Roman"/>
          <w:sz w:val="24"/>
          <w:szCs w:val="24"/>
          <w:lang w:eastAsia="lv-LV"/>
        </w:rPr>
        <w:t xml:space="preserve"> līdz</w:t>
      </w:r>
      <w:r w:rsidR="005A7B86" w:rsidRPr="003D4A67">
        <w:rPr>
          <w:rFonts w:ascii="Times New Roman" w:eastAsia="Times New Roman" w:hAnsi="Times New Roman" w:cs="Times New Roman"/>
          <w:sz w:val="24"/>
          <w:szCs w:val="24"/>
          <w:lang w:eastAsia="lv-LV"/>
        </w:rPr>
        <w:t xml:space="preserve"> </w:t>
      </w:r>
      <w:r w:rsidR="003D4A67" w:rsidRPr="003D4A67">
        <w:rPr>
          <w:rFonts w:ascii="Times New Roman" w:eastAsia="Times New Roman" w:hAnsi="Times New Roman" w:cs="Times New Roman"/>
          <w:sz w:val="24"/>
          <w:szCs w:val="24"/>
        </w:rPr>
        <w:t xml:space="preserve">2020.gada 10.septembrim </w:t>
      </w:r>
      <w:proofErr w:type="spellStart"/>
      <w:r w:rsidR="003D4A67" w:rsidRPr="003D4A67">
        <w:rPr>
          <w:rFonts w:ascii="Times New Roman" w:eastAsia="Times New Roman" w:hAnsi="Times New Roman" w:cs="Times New Roman"/>
          <w:sz w:val="24"/>
          <w:szCs w:val="24"/>
        </w:rPr>
        <w:t>plkst</w:t>
      </w:r>
      <w:proofErr w:type="spellEnd"/>
      <w:r w:rsidR="003D4A67" w:rsidRPr="003D4A67">
        <w:rPr>
          <w:rFonts w:ascii="Times New Roman" w:eastAsia="Times New Roman" w:hAnsi="Times New Roman" w:cs="Times New Roman"/>
          <w:sz w:val="24"/>
          <w:szCs w:val="24"/>
        </w:rPr>
        <w:t xml:space="preserve"> 10</w:t>
      </w:r>
      <w:r w:rsidR="003D4A67" w:rsidRPr="003D4A67">
        <w:rPr>
          <w:rFonts w:ascii="Times New Roman" w:eastAsia="Times New Roman" w:hAnsi="Times New Roman" w:cs="Times New Roman"/>
          <w:sz w:val="24"/>
          <w:szCs w:val="24"/>
          <w:vertAlign w:val="superscript"/>
        </w:rPr>
        <w:t>00</w:t>
      </w:r>
      <w:r w:rsidRPr="003D4A67">
        <w:rPr>
          <w:rFonts w:ascii="Times New Roman" w:eastAsia="Times New Roman" w:hAnsi="Times New Roman" w:cs="Times New Roman"/>
          <w:sz w:val="24"/>
          <w:szCs w:val="24"/>
        </w:rPr>
        <w:t>, Ventspils</w:t>
      </w:r>
      <w:r w:rsidRPr="00BB3577">
        <w:rPr>
          <w:rFonts w:ascii="Times New Roman" w:eastAsia="Times New Roman" w:hAnsi="Times New Roman" w:cs="Times New Roman"/>
          <w:sz w:val="24"/>
          <w:szCs w:val="24"/>
        </w:rPr>
        <w:t xml:space="preserve"> brīvostas pārvaldē, Jāņa ielā 19, Ventspilī.</w:t>
      </w:r>
    </w:p>
    <w:p w14:paraId="0B0E3ADA" w14:textId="77777777" w:rsidR="00B0200B" w:rsidRPr="00BB3577" w:rsidRDefault="00B0200B" w:rsidP="00700D63">
      <w:pPr>
        <w:spacing w:after="0" w:line="240" w:lineRule="auto"/>
        <w:ind w:hanging="578"/>
        <w:jc w:val="both"/>
        <w:rPr>
          <w:rFonts w:ascii="Times New Roman" w:eastAsia="Times New Roman" w:hAnsi="Times New Roman" w:cs="Times New Roman"/>
          <w:bCs/>
          <w:color w:val="000000"/>
          <w:sz w:val="24"/>
          <w:szCs w:val="24"/>
        </w:rPr>
      </w:pPr>
    </w:p>
    <w:p w14:paraId="3BF46FEC" w14:textId="77777777" w:rsidR="00AB755F" w:rsidRPr="00BB3577"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EB97557" w:rsidR="002E3F5C"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6C2ACEF" w14:textId="0D895078" w:rsidR="00026B82" w:rsidRPr="002B3473" w:rsidRDefault="0006438B" w:rsidP="00F91584">
      <w:pPr>
        <w:numPr>
          <w:ilvl w:val="1"/>
          <w:numId w:val="15"/>
        </w:numPr>
        <w:tabs>
          <w:tab w:val="left" w:pos="709"/>
          <w:tab w:val="left" w:pos="851"/>
        </w:tabs>
        <w:spacing w:after="0" w:line="240" w:lineRule="auto"/>
        <w:ind w:hanging="578"/>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35711595" w14:textId="77777777" w:rsidR="00B0200B" w:rsidRPr="00BB3577" w:rsidRDefault="00B0200B" w:rsidP="0006438B">
      <w:pPr>
        <w:spacing w:after="0" w:line="240" w:lineRule="auto"/>
        <w:jc w:val="both"/>
        <w:rPr>
          <w:rFonts w:ascii="Times New Roman" w:eastAsia="Times New Roman" w:hAnsi="Times New Roman" w:cs="Times New Roman"/>
          <w:bCs/>
          <w:color w:val="000000"/>
          <w:sz w:val="24"/>
          <w:szCs w:val="24"/>
        </w:rPr>
      </w:pPr>
    </w:p>
    <w:p w14:paraId="4E55B6EA" w14:textId="77777777" w:rsidR="00306AA2" w:rsidRPr="00BB3577"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BB3577">
        <w:rPr>
          <w:rFonts w:ascii="Times New Roman" w:eastAsia="Times New Roman" w:hAnsi="Times New Roman" w:cs="Times New Roman"/>
          <w:b/>
          <w:bCs/>
          <w:caps/>
          <w:color w:val="000000"/>
          <w:sz w:val="24"/>
          <w:szCs w:val="24"/>
        </w:rPr>
        <w:t xml:space="preserve">PIEDĀVĀJUMA IZVĒRTĒŠANAS KRITĒRIJS – </w:t>
      </w:r>
      <w:r w:rsidRPr="00BB3577">
        <w:rPr>
          <w:rFonts w:ascii="Times New Roman" w:eastAsia="Times New Roman" w:hAnsi="Times New Roman" w:cs="Times New Roman"/>
          <w:bCs/>
          <w:color w:val="000000"/>
          <w:sz w:val="24"/>
          <w:szCs w:val="24"/>
        </w:rPr>
        <w:t xml:space="preserve">cena, tā kā </w:t>
      </w:r>
      <w:r w:rsidR="00577017">
        <w:rPr>
          <w:rFonts w:ascii="Times New Roman" w:eastAsia="Times New Roman" w:hAnsi="Times New Roman" w:cs="Times New Roman"/>
          <w:bCs/>
          <w:color w:val="000000"/>
          <w:sz w:val="24"/>
          <w:szCs w:val="24"/>
        </w:rPr>
        <w:t>tehniskā specifikācija ir sagatavota</w:t>
      </w:r>
      <w:r w:rsidR="00574B11" w:rsidRPr="00BB3577">
        <w:rPr>
          <w:rFonts w:ascii="Times New Roman" w:eastAsia="Times New Roman" w:hAnsi="Times New Roman" w:cs="Times New Roman"/>
          <w:bCs/>
          <w:color w:val="000000"/>
          <w:sz w:val="24"/>
          <w:szCs w:val="24"/>
        </w:rPr>
        <w:t xml:space="preserve"> detalizēti</w:t>
      </w:r>
      <w:r w:rsidRPr="00BB3577">
        <w:rPr>
          <w:rFonts w:ascii="Times New Roman" w:eastAsia="Times New Roman" w:hAnsi="Times New Roman" w:cs="Times New Roman"/>
          <w:bCs/>
          <w:color w:val="000000"/>
          <w:sz w:val="24"/>
          <w:szCs w:val="24"/>
        </w:rPr>
        <w:t xml:space="preserve"> un citiem kritērijiem nav būtiskas nozīmes piedāvājuma izvēlē.</w:t>
      </w:r>
      <w:r w:rsidRPr="00BB3577">
        <w:rPr>
          <w:rFonts w:ascii="Times New Roman" w:eastAsia="Times New Roman" w:hAnsi="Times New Roman" w:cs="Times New Roman"/>
          <w:b/>
          <w:bCs/>
          <w:smallCaps/>
          <w:color w:val="000000"/>
          <w:sz w:val="24"/>
          <w:szCs w:val="24"/>
        </w:rPr>
        <w:t xml:space="preserve"> </w:t>
      </w:r>
    </w:p>
    <w:p w14:paraId="49571B47" w14:textId="77777777" w:rsidR="00306AA2" w:rsidRPr="00BB3577"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C7264E">
      <w:pPr>
        <w:spacing w:after="0" w:line="240" w:lineRule="auto"/>
        <w:jc w:val="both"/>
        <w:rPr>
          <w:rFonts w:ascii="Times New Roman" w:eastAsia="Times New Roman" w:hAnsi="Times New Roman" w:cs="Times New Roman"/>
          <w:color w:val="000000"/>
          <w:sz w:val="24"/>
          <w:szCs w:val="24"/>
        </w:rPr>
      </w:pPr>
    </w:p>
    <w:p w14:paraId="65FA01B8" w14:textId="77777777" w:rsidR="00AB755F" w:rsidRPr="00BB3577" w:rsidRDefault="00AB755F" w:rsidP="006709AE">
      <w:pPr>
        <w:pStyle w:val="Heading1"/>
      </w:pPr>
      <w:r w:rsidRPr="00BB3577">
        <w:t>PIEDĀVĀJUMA SAGATAVOŠANA UN NOFORMĒŠANA</w:t>
      </w:r>
    </w:p>
    <w:p w14:paraId="71FA1906" w14:textId="1BD39C82" w:rsidR="006F5A73" w:rsidRPr="00BB3577" w:rsidRDefault="006F5A73" w:rsidP="006F5A73">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3D4A67">
        <w:rPr>
          <w:rFonts w:ascii="Times New Roman" w:hAnsi="Times New Roman"/>
          <w:sz w:val="24"/>
          <w:lang w:val="lv-LV"/>
        </w:rPr>
        <w:t>8</w:t>
      </w:r>
      <w:r w:rsidRPr="00BB3577">
        <w:rPr>
          <w:rFonts w:ascii="Times New Roman" w:hAnsi="Times New Roman"/>
          <w:sz w:val="24"/>
        </w:rPr>
        <w:t xml:space="preserve">.gada </w:t>
      </w:r>
      <w:r>
        <w:rPr>
          <w:rFonts w:ascii="Times New Roman" w:hAnsi="Times New Roman"/>
          <w:sz w:val="24"/>
          <w:lang w:val="lv-LV"/>
        </w:rPr>
        <w:t>04</w:t>
      </w:r>
      <w:r w:rsidRPr="00BB3577">
        <w:rPr>
          <w:rFonts w:ascii="Times New Roman" w:hAnsi="Times New Roman"/>
          <w:sz w:val="24"/>
        </w:rPr>
        <w:t>.septembra 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 xml:space="preserve">Ja oriģinālā dokumenta teksts atšķiras no </w:t>
      </w:r>
      <w:r w:rsidRPr="00BB3577">
        <w:rPr>
          <w:rFonts w:ascii="Times New Roman" w:hAnsi="Times New Roman"/>
          <w:bCs/>
          <w:sz w:val="24"/>
        </w:rPr>
        <w:lastRenderedPageBreak/>
        <w:t>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1639D0">
      <w:pPr>
        <w:pStyle w:val="Paragrfs"/>
        <w:numPr>
          <w:ilvl w:val="0"/>
          <w:numId w:val="0"/>
        </w:numPr>
        <w:ind w:left="720"/>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AB755F">
      <w:pPr>
        <w:pStyle w:val="Paragrfs"/>
        <w:numPr>
          <w:ilvl w:val="1"/>
          <w:numId w:val="15"/>
        </w:numPr>
        <w:tabs>
          <w:tab w:val="left" w:pos="993"/>
        </w:tabs>
        <w:ind w:hanging="578"/>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AB755F">
      <w:pPr>
        <w:pStyle w:val="Paragrfs"/>
        <w:numPr>
          <w:ilvl w:val="1"/>
          <w:numId w:val="15"/>
        </w:numPr>
        <w:tabs>
          <w:tab w:val="left" w:pos="993"/>
        </w:tabs>
        <w:ind w:hanging="578"/>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AB755F">
      <w:pPr>
        <w:pStyle w:val="Paragrfs"/>
        <w:numPr>
          <w:ilvl w:val="1"/>
          <w:numId w:val="15"/>
        </w:numPr>
        <w:tabs>
          <w:tab w:val="left" w:pos="993"/>
        </w:tabs>
        <w:ind w:hanging="578"/>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AB755F">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AB755F">
      <w:pPr>
        <w:overflowPunct w:val="0"/>
        <w:autoSpaceDE w:val="0"/>
        <w:autoSpaceDN w:val="0"/>
        <w:adjustRightInd w:val="0"/>
        <w:spacing w:after="0" w:line="240" w:lineRule="auto"/>
        <w:ind w:left="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3F6197D8" w:rsidR="00AB755F" w:rsidRPr="002B3473" w:rsidRDefault="00AB755F" w:rsidP="009022FF">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Pr="002B3473">
        <w:rPr>
          <w:rFonts w:ascii="Times New Roman" w:eastAsia="Times New Roman" w:hAnsi="Times New Roman" w:cs="Times New Roman"/>
          <w:sz w:val="24"/>
          <w:szCs w:val="24"/>
          <w:lang w:eastAsia="lv-LV"/>
        </w:rPr>
        <w:t>”</w:t>
      </w:r>
      <w:r w:rsidR="00CB5750">
        <w:rPr>
          <w:rFonts w:ascii="Times New Roman" w:eastAsia="Times New Roman" w:hAnsi="Times New Roman" w:cs="Times New Roman"/>
          <w:b/>
          <w:color w:val="000000"/>
          <w:sz w:val="24"/>
          <w:szCs w:val="24"/>
        </w:rPr>
        <w:t xml:space="preserve">IHC grunts uztvērēja remonts </w:t>
      </w:r>
      <w:proofErr w:type="spellStart"/>
      <w:r w:rsidR="00CB5750">
        <w:rPr>
          <w:rFonts w:ascii="Times New Roman" w:eastAsia="Times New Roman" w:hAnsi="Times New Roman" w:cs="Times New Roman"/>
          <w:b/>
          <w:color w:val="000000"/>
          <w:sz w:val="24"/>
          <w:szCs w:val="24"/>
        </w:rPr>
        <w:t>gruntssūcējam</w:t>
      </w:r>
      <w:proofErr w:type="spellEnd"/>
      <w:r w:rsidR="00CB5750">
        <w:rPr>
          <w:rFonts w:ascii="Times New Roman" w:eastAsia="Times New Roman" w:hAnsi="Times New Roman" w:cs="Times New Roman"/>
          <w:b/>
          <w:color w:val="000000"/>
          <w:sz w:val="24"/>
          <w:szCs w:val="24"/>
        </w:rPr>
        <w:t xml:space="preserve">  DZELME Ventspilī</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ma identifikācijas Nr. VBOP 20</w:t>
      </w:r>
      <w:r w:rsidR="00EB072B" w:rsidRPr="002B3473">
        <w:rPr>
          <w:rFonts w:ascii="Times New Roman" w:eastAsia="Times New Roman" w:hAnsi="Times New Roman" w:cs="Times New Roman"/>
          <w:sz w:val="24"/>
          <w:szCs w:val="24"/>
          <w:lang w:eastAsia="lv-LV"/>
        </w:rPr>
        <w:t>20</w:t>
      </w:r>
      <w:r w:rsidR="003D4A67">
        <w:rPr>
          <w:rFonts w:ascii="Times New Roman" w:eastAsia="Times New Roman" w:hAnsi="Times New Roman" w:cs="Times New Roman"/>
          <w:sz w:val="24"/>
          <w:szCs w:val="24"/>
          <w:lang w:eastAsia="lv-LV"/>
        </w:rPr>
        <w:t>/87;</w:t>
      </w:r>
    </w:p>
    <w:p w14:paraId="337EEB87" w14:textId="7E453CCE"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Neatvērt līdz </w:t>
      </w:r>
      <w:r w:rsidR="003D4A67" w:rsidRPr="003D4A67">
        <w:rPr>
          <w:rFonts w:ascii="Times New Roman" w:eastAsia="Times New Roman" w:hAnsi="Times New Roman" w:cs="Times New Roman"/>
          <w:sz w:val="24"/>
          <w:szCs w:val="24"/>
        </w:rPr>
        <w:t xml:space="preserve">2020.gada 10.septembrim </w:t>
      </w:r>
      <w:proofErr w:type="spellStart"/>
      <w:r w:rsidR="003D4A67" w:rsidRPr="003D4A67">
        <w:rPr>
          <w:rFonts w:ascii="Times New Roman" w:eastAsia="Times New Roman" w:hAnsi="Times New Roman" w:cs="Times New Roman"/>
          <w:sz w:val="24"/>
          <w:szCs w:val="24"/>
        </w:rPr>
        <w:t>plkst</w:t>
      </w:r>
      <w:proofErr w:type="spellEnd"/>
      <w:r w:rsidR="003D4A67" w:rsidRPr="003D4A67">
        <w:rPr>
          <w:rFonts w:ascii="Times New Roman" w:eastAsia="Times New Roman" w:hAnsi="Times New Roman" w:cs="Times New Roman"/>
          <w:sz w:val="24"/>
          <w:szCs w:val="24"/>
        </w:rPr>
        <w:t xml:space="preserve"> 10</w:t>
      </w:r>
      <w:r w:rsidR="003D4A67" w:rsidRPr="003D4A67">
        <w:rPr>
          <w:rFonts w:ascii="Times New Roman" w:eastAsia="Times New Roman" w:hAnsi="Times New Roman" w:cs="Times New Roman"/>
          <w:sz w:val="24"/>
          <w:szCs w:val="24"/>
          <w:vertAlign w:val="superscript"/>
        </w:rPr>
        <w:t>00</w:t>
      </w:r>
      <w:r w:rsidRPr="002B3473">
        <w:rPr>
          <w:rFonts w:ascii="Times New Roman" w:eastAsia="Times New Roman" w:hAnsi="Times New Roman" w:cs="Times New Roman"/>
          <w:sz w:val="24"/>
          <w:szCs w:val="24"/>
          <w:lang w:eastAsia="lv-LV"/>
        </w:rPr>
        <w:t>;</w:t>
      </w:r>
    </w:p>
    <w:p w14:paraId="271E7216" w14:textId="77777777" w:rsidR="00AB755F" w:rsidRPr="002B3473" w:rsidRDefault="00AB755F" w:rsidP="002B3473">
      <w:pPr>
        <w:tabs>
          <w:tab w:val="left" w:pos="1560"/>
        </w:tabs>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Default="00A638F6" w:rsidP="00A638F6">
      <w:pPr>
        <w:tabs>
          <w:tab w:val="left" w:pos="993"/>
        </w:tabs>
        <w:spacing w:after="0" w:line="240" w:lineRule="auto"/>
        <w:ind w:left="720"/>
        <w:jc w:val="both"/>
        <w:rPr>
          <w:rFonts w:ascii="Times New Roman" w:hAnsi="Times New Roman" w:cs="Times New Roman"/>
          <w:sz w:val="24"/>
          <w:szCs w:val="24"/>
        </w:rPr>
      </w:pPr>
    </w:p>
    <w:p w14:paraId="4DACEF7A" w14:textId="77777777" w:rsidR="003C7635" w:rsidRPr="00BB3577"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w:t>
      </w:r>
      <w:r w:rsidRPr="00BB3577">
        <w:rPr>
          <w:rFonts w:ascii="Times New Roman" w:eastAsia="Times New Roman" w:hAnsi="Times New Roman" w:cs="Times New Roman"/>
          <w:sz w:val="24"/>
          <w:szCs w:val="24"/>
        </w:rPr>
        <w:lastRenderedPageBreak/>
        <w:t xml:space="preserve">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D4402D" w:rsidRDefault="00B0200B" w:rsidP="00FA3BCD">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b/>
          <w:bCs/>
          <w:sz w:val="24"/>
          <w:szCs w:val="24"/>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D4402D">
        <w:rPr>
          <w:rFonts w:ascii="Times New Roman" w:eastAsia="Times New Roman" w:hAnsi="Times New Roman" w:cs="Times New Roman"/>
          <w:b/>
          <w:bCs/>
          <w:sz w:val="24"/>
          <w:szCs w:val="24"/>
        </w:rPr>
        <w:t>Līgums jānoslēdz 5 (piecu) darba dienu laikā no Pasūtītāja rakstiska pieprasījuma saņemšanas</w:t>
      </w:r>
      <w:r w:rsidR="004B61D5" w:rsidRPr="00D4402D">
        <w:rPr>
          <w:rFonts w:ascii="Times New Roman" w:eastAsia="Times New Roman" w:hAnsi="Times New Roman" w:cs="Times New Roman"/>
          <w:b/>
          <w:bCs/>
          <w:sz w:val="24"/>
          <w:szCs w:val="24"/>
        </w:rPr>
        <w:t xml:space="preserve">. </w:t>
      </w:r>
      <w:bookmarkEnd w:id="1"/>
      <w:bookmarkEnd w:id="2"/>
      <w:bookmarkEnd w:id="3"/>
      <w:bookmarkEnd w:id="4"/>
      <w:bookmarkEnd w:id="5"/>
      <w:bookmarkEnd w:id="6"/>
      <w:bookmarkEnd w:id="7"/>
      <w:bookmarkEnd w:id="8"/>
      <w:bookmarkEnd w:id="9"/>
    </w:p>
    <w:p w14:paraId="7E7EE9A1" w14:textId="77777777" w:rsidR="00AB755F" w:rsidRPr="00BB3577"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AB755F">
      <w:pPr>
        <w:pStyle w:val="Default"/>
        <w:numPr>
          <w:ilvl w:val="1"/>
          <w:numId w:val="15"/>
        </w:numPr>
        <w:tabs>
          <w:tab w:val="left" w:pos="851"/>
          <w:tab w:val="left" w:pos="1134"/>
        </w:tabs>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AB755F">
      <w:pPr>
        <w:pStyle w:val="Default"/>
        <w:numPr>
          <w:ilvl w:val="1"/>
          <w:numId w:val="15"/>
        </w:numPr>
        <w:tabs>
          <w:tab w:val="left" w:pos="851"/>
          <w:tab w:val="left" w:pos="1134"/>
        </w:tabs>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88B1CE" w14:textId="77777777" w:rsidR="00722314" w:rsidRPr="00BB3577"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2019E9F4" w14:textId="77777777" w:rsidR="006709AE" w:rsidRPr="00BB3577"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D30FF5F" w14:textId="77777777" w:rsidR="003C7635" w:rsidRPr="00BB3577"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02EA13DE" w:rsidR="000C54C7" w:rsidRPr="00BB3577" w:rsidRDefault="00765A54"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Darba apraksts</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255600A0" w14:textId="77777777" w:rsidR="00834347"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r w:rsidR="00834347">
        <w:rPr>
          <w:rFonts w:ascii="Times New Roman" w:eastAsia="Times New Roman" w:hAnsi="Times New Roman" w:cs="Times New Roman"/>
          <w:sz w:val="24"/>
          <w:szCs w:val="24"/>
        </w:rPr>
        <w:t>;</w:t>
      </w:r>
    </w:p>
    <w:p w14:paraId="566D4E86" w14:textId="322E4FA5" w:rsidR="00026B82" w:rsidRPr="00BE5E11" w:rsidRDefault="00026B82" w:rsidP="00E64875">
      <w:pPr>
        <w:pStyle w:val="ListParagraph"/>
        <w:overflowPunct w:val="0"/>
        <w:autoSpaceDE w:val="0"/>
        <w:autoSpaceDN w:val="0"/>
        <w:adjustRightInd w:val="0"/>
        <w:spacing w:after="0" w:line="240" w:lineRule="auto"/>
        <w:ind w:left="851"/>
        <w:jc w:val="both"/>
        <w:textAlignment w:val="baseline"/>
        <w:rPr>
          <w:rFonts w:ascii="Times New Roman" w:eastAsia="Times New Roman" w:hAnsi="Times New Roman" w:cs="Times New Roman"/>
          <w:sz w:val="24"/>
          <w:szCs w:val="24"/>
          <w:lang w:eastAsia="lv-LV"/>
        </w:rPr>
      </w:pPr>
    </w:p>
    <w:p w14:paraId="3015A529" w14:textId="4918C929" w:rsidR="00F91985" w:rsidRPr="00E64875" w:rsidRDefault="00F91985" w:rsidP="00CA6EE0">
      <w:pPr>
        <w:rPr>
          <w:rFonts w:ascii="Times New Roman" w:eastAsia="Times New Roman" w:hAnsi="Times New Roman" w:cs="Times New Roman"/>
          <w:iCs/>
          <w:color w:val="000000"/>
          <w:sz w:val="24"/>
          <w:szCs w:val="24"/>
          <w:lang w:val="en-GB"/>
        </w:rPr>
      </w:pPr>
    </w:p>
    <w:sectPr w:rsidR="00F91985" w:rsidRPr="00E64875"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66729" w14:textId="77777777" w:rsidR="007B3736" w:rsidRDefault="007B3736">
      <w:pPr>
        <w:spacing w:after="0" w:line="240" w:lineRule="auto"/>
      </w:pPr>
      <w:r>
        <w:separator/>
      </w:r>
    </w:p>
  </w:endnote>
  <w:endnote w:type="continuationSeparator" w:id="0">
    <w:p w14:paraId="6F2B09F7" w14:textId="77777777" w:rsidR="007B3736" w:rsidRDefault="007B3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E64875"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EA38F9">
          <w:rPr>
            <w:rFonts w:ascii="Times New Roman" w:hAnsi="Times New Roman" w:cs="Times New Roman"/>
            <w:noProof/>
          </w:rPr>
          <w:t>5</w:t>
        </w:r>
        <w:r w:rsidRPr="00D54D0E">
          <w:rPr>
            <w:rFonts w:ascii="Times New Roman" w:hAnsi="Times New Roman" w:cs="Times New Roman"/>
            <w:noProof/>
          </w:rPr>
          <w:fldChar w:fldCharType="end"/>
        </w:r>
      </w:p>
    </w:sdtContent>
  </w:sdt>
  <w:p w14:paraId="71B87201" w14:textId="77777777" w:rsidR="0071644D" w:rsidRPr="002F1C04" w:rsidRDefault="00E64875"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EA38F9">
          <w:rPr>
            <w:rFonts w:ascii="Times New Roman" w:hAnsi="Times New Roman" w:cs="Times New Roman"/>
            <w:noProof/>
          </w:rPr>
          <w:t>1</w:t>
        </w:r>
        <w:r w:rsidRPr="001E7996">
          <w:rPr>
            <w:rFonts w:ascii="Times New Roman" w:hAnsi="Times New Roman" w:cs="Times New Roman"/>
            <w:noProof/>
          </w:rPr>
          <w:fldChar w:fldCharType="end"/>
        </w:r>
      </w:p>
    </w:sdtContent>
  </w:sdt>
  <w:p w14:paraId="2DA219DF" w14:textId="77777777" w:rsidR="0071644D" w:rsidRDefault="00E64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DA8DD" w14:textId="77777777" w:rsidR="007B3736" w:rsidRDefault="007B3736">
      <w:pPr>
        <w:spacing w:after="0" w:line="240" w:lineRule="auto"/>
      </w:pPr>
      <w:r>
        <w:separator/>
      </w:r>
    </w:p>
  </w:footnote>
  <w:footnote w:type="continuationSeparator" w:id="0">
    <w:p w14:paraId="5A7DC087" w14:textId="77777777" w:rsidR="007B3736" w:rsidRDefault="007B3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52687"/>
    <w:rsid w:val="00156CA2"/>
    <w:rsid w:val="001639D0"/>
    <w:rsid w:val="001902DE"/>
    <w:rsid w:val="001976AE"/>
    <w:rsid w:val="001A09F0"/>
    <w:rsid w:val="001A3E0D"/>
    <w:rsid w:val="001A4C2B"/>
    <w:rsid w:val="001B41D8"/>
    <w:rsid w:val="001B4F4D"/>
    <w:rsid w:val="001D2183"/>
    <w:rsid w:val="001E1C7B"/>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4750F"/>
    <w:rsid w:val="002504A1"/>
    <w:rsid w:val="002540A1"/>
    <w:rsid w:val="00256751"/>
    <w:rsid w:val="00257E60"/>
    <w:rsid w:val="00281583"/>
    <w:rsid w:val="00285180"/>
    <w:rsid w:val="0028534A"/>
    <w:rsid w:val="00294BAB"/>
    <w:rsid w:val="002B208F"/>
    <w:rsid w:val="002B3473"/>
    <w:rsid w:val="002B5C09"/>
    <w:rsid w:val="002C4336"/>
    <w:rsid w:val="002D464C"/>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D4A67"/>
    <w:rsid w:val="003E0625"/>
    <w:rsid w:val="003F4F6B"/>
    <w:rsid w:val="0041165D"/>
    <w:rsid w:val="00421E94"/>
    <w:rsid w:val="0042304B"/>
    <w:rsid w:val="00433672"/>
    <w:rsid w:val="00441915"/>
    <w:rsid w:val="00457E44"/>
    <w:rsid w:val="004677CD"/>
    <w:rsid w:val="00473CA8"/>
    <w:rsid w:val="00480B7D"/>
    <w:rsid w:val="004858E8"/>
    <w:rsid w:val="00487660"/>
    <w:rsid w:val="00492B43"/>
    <w:rsid w:val="0049639C"/>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A7B86"/>
    <w:rsid w:val="005B3CFA"/>
    <w:rsid w:val="005B4BE8"/>
    <w:rsid w:val="005B63CF"/>
    <w:rsid w:val="005B7931"/>
    <w:rsid w:val="005C2429"/>
    <w:rsid w:val="005C5220"/>
    <w:rsid w:val="005D6B12"/>
    <w:rsid w:val="005D7E5C"/>
    <w:rsid w:val="00602A04"/>
    <w:rsid w:val="00606A2C"/>
    <w:rsid w:val="00612C15"/>
    <w:rsid w:val="00625A5C"/>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0EB"/>
    <w:rsid w:val="006F21B3"/>
    <w:rsid w:val="006F2894"/>
    <w:rsid w:val="006F423E"/>
    <w:rsid w:val="006F5A73"/>
    <w:rsid w:val="007005CB"/>
    <w:rsid w:val="00700D63"/>
    <w:rsid w:val="0070175E"/>
    <w:rsid w:val="007147BA"/>
    <w:rsid w:val="00716F5D"/>
    <w:rsid w:val="00722314"/>
    <w:rsid w:val="0072449F"/>
    <w:rsid w:val="00725607"/>
    <w:rsid w:val="00731B95"/>
    <w:rsid w:val="007379BF"/>
    <w:rsid w:val="00740D45"/>
    <w:rsid w:val="00742D80"/>
    <w:rsid w:val="00743931"/>
    <w:rsid w:val="00744B72"/>
    <w:rsid w:val="00752CA0"/>
    <w:rsid w:val="00761B56"/>
    <w:rsid w:val="00765A54"/>
    <w:rsid w:val="00774428"/>
    <w:rsid w:val="00781782"/>
    <w:rsid w:val="00784044"/>
    <w:rsid w:val="00785017"/>
    <w:rsid w:val="00792076"/>
    <w:rsid w:val="007A27C0"/>
    <w:rsid w:val="007A6C5F"/>
    <w:rsid w:val="007B111C"/>
    <w:rsid w:val="007B3736"/>
    <w:rsid w:val="007C3E88"/>
    <w:rsid w:val="007D0B5D"/>
    <w:rsid w:val="007D4F8D"/>
    <w:rsid w:val="007D6B4A"/>
    <w:rsid w:val="008049CF"/>
    <w:rsid w:val="0081169F"/>
    <w:rsid w:val="00834347"/>
    <w:rsid w:val="008416D5"/>
    <w:rsid w:val="008509C0"/>
    <w:rsid w:val="00850B30"/>
    <w:rsid w:val="008568B5"/>
    <w:rsid w:val="00863B66"/>
    <w:rsid w:val="00866B8D"/>
    <w:rsid w:val="008715AE"/>
    <w:rsid w:val="00881E09"/>
    <w:rsid w:val="008833BC"/>
    <w:rsid w:val="00895204"/>
    <w:rsid w:val="008A4233"/>
    <w:rsid w:val="008A5635"/>
    <w:rsid w:val="008A5996"/>
    <w:rsid w:val="008B0F20"/>
    <w:rsid w:val="008B2850"/>
    <w:rsid w:val="008B29A2"/>
    <w:rsid w:val="008B2D4A"/>
    <w:rsid w:val="008B612C"/>
    <w:rsid w:val="008B7840"/>
    <w:rsid w:val="008C2B11"/>
    <w:rsid w:val="008C2D16"/>
    <w:rsid w:val="008D2CD1"/>
    <w:rsid w:val="008E6A28"/>
    <w:rsid w:val="00901C95"/>
    <w:rsid w:val="009022FF"/>
    <w:rsid w:val="00906F18"/>
    <w:rsid w:val="009149E5"/>
    <w:rsid w:val="00916BE7"/>
    <w:rsid w:val="00921BDD"/>
    <w:rsid w:val="00933CE9"/>
    <w:rsid w:val="00941A60"/>
    <w:rsid w:val="00943A82"/>
    <w:rsid w:val="009454C4"/>
    <w:rsid w:val="00951D4A"/>
    <w:rsid w:val="00952EE8"/>
    <w:rsid w:val="00953D15"/>
    <w:rsid w:val="009546E1"/>
    <w:rsid w:val="0096179F"/>
    <w:rsid w:val="00963ABD"/>
    <w:rsid w:val="00983E66"/>
    <w:rsid w:val="0099398B"/>
    <w:rsid w:val="00993C64"/>
    <w:rsid w:val="00997CF2"/>
    <w:rsid w:val="009A2DA4"/>
    <w:rsid w:val="009B3AE5"/>
    <w:rsid w:val="009C0337"/>
    <w:rsid w:val="009C62B3"/>
    <w:rsid w:val="009D337C"/>
    <w:rsid w:val="009F281E"/>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A230C"/>
    <w:rsid w:val="00AA67C3"/>
    <w:rsid w:val="00AB157C"/>
    <w:rsid w:val="00AB2DFE"/>
    <w:rsid w:val="00AB54BB"/>
    <w:rsid w:val="00AB7109"/>
    <w:rsid w:val="00AB755F"/>
    <w:rsid w:val="00AC06C3"/>
    <w:rsid w:val="00AC4B7B"/>
    <w:rsid w:val="00AC68F4"/>
    <w:rsid w:val="00AD35AD"/>
    <w:rsid w:val="00AE06E6"/>
    <w:rsid w:val="00AE255E"/>
    <w:rsid w:val="00AF07FE"/>
    <w:rsid w:val="00AF399B"/>
    <w:rsid w:val="00AF3B51"/>
    <w:rsid w:val="00B0200B"/>
    <w:rsid w:val="00B03848"/>
    <w:rsid w:val="00B064A6"/>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9077C"/>
    <w:rsid w:val="00B9289C"/>
    <w:rsid w:val="00BA257E"/>
    <w:rsid w:val="00BB3577"/>
    <w:rsid w:val="00BB4DBF"/>
    <w:rsid w:val="00BC105E"/>
    <w:rsid w:val="00BC1161"/>
    <w:rsid w:val="00BD3B3F"/>
    <w:rsid w:val="00BE1274"/>
    <w:rsid w:val="00BE5E11"/>
    <w:rsid w:val="00BF07E6"/>
    <w:rsid w:val="00BF2F78"/>
    <w:rsid w:val="00BF4201"/>
    <w:rsid w:val="00C0366F"/>
    <w:rsid w:val="00C04711"/>
    <w:rsid w:val="00C164CC"/>
    <w:rsid w:val="00C64D92"/>
    <w:rsid w:val="00C7264E"/>
    <w:rsid w:val="00C86CB6"/>
    <w:rsid w:val="00C9294A"/>
    <w:rsid w:val="00CA599D"/>
    <w:rsid w:val="00CA6EE0"/>
    <w:rsid w:val="00CB27EB"/>
    <w:rsid w:val="00CB2A26"/>
    <w:rsid w:val="00CB42C9"/>
    <w:rsid w:val="00CB5750"/>
    <w:rsid w:val="00CC0825"/>
    <w:rsid w:val="00CC5108"/>
    <w:rsid w:val="00CC52C8"/>
    <w:rsid w:val="00CC7AFE"/>
    <w:rsid w:val="00CE00CC"/>
    <w:rsid w:val="00CF49B2"/>
    <w:rsid w:val="00CF55AE"/>
    <w:rsid w:val="00D02177"/>
    <w:rsid w:val="00D044DE"/>
    <w:rsid w:val="00D1187A"/>
    <w:rsid w:val="00D1664B"/>
    <w:rsid w:val="00D31414"/>
    <w:rsid w:val="00D33886"/>
    <w:rsid w:val="00D348E8"/>
    <w:rsid w:val="00D4402D"/>
    <w:rsid w:val="00D4471B"/>
    <w:rsid w:val="00D46A9D"/>
    <w:rsid w:val="00D51B43"/>
    <w:rsid w:val="00D54D0E"/>
    <w:rsid w:val="00D620D7"/>
    <w:rsid w:val="00D649E8"/>
    <w:rsid w:val="00D64CD9"/>
    <w:rsid w:val="00D737AE"/>
    <w:rsid w:val="00D750AF"/>
    <w:rsid w:val="00D87031"/>
    <w:rsid w:val="00D93202"/>
    <w:rsid w:val="00DA79FC"/>
    <w:rsid w:val="00DB0A8C"/>
    <w:rsid w:val="00DB61C4"/>
    <w:rsid w:val="00DC1977"/>
    <w:rsid w:val="00DC5988"/>
    <w:rsid w:val="00E00B1B"/>
    <w:rsid w:val="00E016D0"/>
    <w:rsid w:val="00E05460"/>
    <w:rsid w:val="00E05F3D"/>
    <w:rsid w:val="00E0756C"/>
    <w:rsid w:val="00E137B5"/>
    <w:rsid w:val="00E14A7B"/>
    <w:rsid w:val="00E2056F"/>
    <w:rsid w:val="00E247FE"/>
    <w:rsid w:val="00E47039"/>
    <w:rsid w:val="00E558E8"/>
    <w:rsid w:val="00E575B6"/>
    <w:rsid w:val="00E6280C"/>
    <w:rsid w:val="00E64875"/>
    <w:rsid w:val="00E723FE"/>
    <w:rsid w:val="00E83667"/>
    <w:rsid w:val="00EA1E3A"/>
    <w:rsid w:val="00EA38F9"/>
    <w:rsid w:val="00EA5F35"/>
    <w:rsid w:val="00EA6209"/>
    <w:rsid w:val="00EB072B"/>
    <w:rsid w:val="00EB33C1"/>
    <w:rsid w:val="00EB6BF0"/>
    <w:rsid w:val="00EE1B35"/>
    <w:rsid w:val="00EE3047"/>
    <w:rsid w:val="00EE7EF0"/>
    <w:rsid w:val="00F013C1"/>
    <w:rsid w:val="00F03021"/>
    <w:rsid w:val="00F11A46"/>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DAADE"/>
  <w15:docId w15:val="{BB5ACBC7-BBF7-4560-9808-A0B528E5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customStyle="1" w:styleId="UnresolvedMention3">
    <w:name w:val="Unresolved Mention3"/>
    <w:basedOn w:val="DefaultParagraphFont"/>
    <w:uiPriority w:val="99"/>
    <w:semiHidden/>
    <w:unhideWhenUsed/>
    <w:rsid w:val="0025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ldis.mucenieks@vbp.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7D2AE6-D722-42EA-8171-CD2D5F0B5D2D}">
  <ds:schemaRefs>
    <ds:schemaRef ds:uri="http://schemas.microsoft.com/sharepoint/v3/contenttype/forms"/>
  </ds:schemaRefs>
</ds:datastoreItem>
</file>

<file path=customXml/itemProps2.xml><?xml version="1.0" encoding="utf-8"?>
<ds:datastoreItem xmlns:ds="http://schemas.openxmlformats.org/officeDocument/2006/customXml" ds:itemID="{9EFAEB3C-5725-4ED0-92C3-30D2DCCD5F3E}">
  <ds:schemaRefs>
    <ds:schemaRef ds:uri="http://schemas.openxmlformats.org/officeDocument/2006/bibliography"/>
  </ds:schemaRefs>
</ds:datastoreItem>
</file>

<file path=customXml/itemProps3.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11567</Words>
  <Characters>6594</Characters>
  <Application>Microsoft Office Word</Application>
  <DocSecurity>0</DocSecurity>
  <Lines>54</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5</cp:revision>
  <cp:lastPrinted>2018-04-10T12:23:00Z</cp:lastPrinted>
  <dcterms:created xsi:type="dcterms:W3CDTF">2020-09-02T16:42:00Z</dcterms:created>
  <dcterms:modified xsi:type="dcterms:W3CDTF">2020-09-03T12:42:00Z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