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A08C1"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692EC687" w14:textId="7AF3365E"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w:t>
      </w:r>
      <w:r w:rsidR="004C3F7E">
        <w:rPr>
          <w:rFonts w:ascii="Times New Roman" w:eastAsia="Times New Roman" w:hAnsi="Times New Roman" w:cs="Times New Roman"/>
          <w:color w:val="000000"/>
          <w:sz w:val="24"/>
          <w:szCs w:val="24"/>
        </w:rPr>
        <w:t>20</w:t>
      </w:r>
      <w:r w:rsidR="001902DE" w:rsidRPr="00BB3577">
        <w:rPr>
          <w:rFonts w:ascii="Times New Roman" w:eastAsia="Times New Roman" w:hAnsi="Times New Roman" w:cs="Times New Roman"/>
          <w:color w:val="000000"/>
          <w:sz w:val="24"/>
          <w:szCs w:val="24"/>
        </w:rPr>
        <w:t>.</w:t>
      </w:r>
      <w:r w:rsidR="004C3F7E">
        <w:rPr>
          <w:rFonts w:ascii="Times New Roman" w:eastAsia="Times New Roman" w:hAnsi="Times New Roman" w:cs="Times New Roman"/>
          <w:color w:val="000000"/>
          <w:sz w:val="24"/>
          <w:szCs w:val="24"/>
        </w:rPr>
        <w:t xml:space="preserve"> </w:t>
      </w:r>
      <w:r w:rsidR="001902DE" w:rsidRPr="00BB3577">
        <w:rPr>
          <w:rFonts w:ascii="Times New Roman" w:eastAsia="Times New Roman" w:hAnsi="Times New Roman" w:cs="Times New Roman"/>
          <w:color w:val="000000"/>
          <w:sz w:val="24"/>
          <w:szCs w:val="24"/>
        </w:rPr>
        <w:t>gada</w:t>
      </w:r>
      <w:r w:rsidR="0059368F">
        <w:rPr>
          <w:rFonts w:ascii="Times New Roman" w:eastAsia="Times New Roman" w:hAnsi="Times New Roman" w:cs="Times New Roman"/>
          <w:color w:val="000000"/>
          <w:sz w:val="24"/>
          <w:szCs w:val="24"/>
        </w:rPr>
        <w:t xml:space="preserve"> </w:t>
      </w:r>
      <w:r w:rsidR="00FF78D0">
        <w:rPr>
          <w:rFonts w:ascii="Times New Roman" w:eastAsia="Times New Roman" w:hAnsi="Times New Roman" w:cs="Times New Roman"/>
          <w:color w:val="000000"/>
          <w:sz w:val="24"/>
          <w:szCs w:val="24"/>
        </w:rPr>
        <w:t>23</w:t>
      </w:r>
      <w:r w:rsidR="0059368F">
        <w:rPr>
          <w:rFonts w:ascii="Times New Roman" w:eastAsia="Times New Roman" w:hAnsi="Times New Roman" w:cs="Times New Roman"/>
          <w:color w:val="000000"/>
          <w:sz w:val="24"/>
          <w:szCs w:val="24"/>
        </w:rPr>
        <w:t>.</w:t>
      </w:r>
      <w:r w:rsidR="00D02282">
        <w:rPr>
          <w:rFonts w:ascii="Times New Roman" w:eastAsia="Times New Roman" w:hAnsi="Times New Roman" w:cs="Times New Roman"/>
          <w:color w:val="000000"/>
          <w:sz w:val="24"/>
          <w:szCs w:val="24"/>
        </w:rPr>
        <w:t>septembrī</w:t>
      </w:r>
    </w:p>
    <w:p w14:paraId="428310E5"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14:paraId="392BF197"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65E003DF"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E016FEE"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782FE934"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611277BC" w14:textId="77777777"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170A20">
        <w:rPr>
          <w:rFonts w:ascii="Times New Roman" w:eastAsia="Times New Roman" w:hAnsi="Times New Roman" w:cs="Times New Roman"/>
          <w:b/>
          <w:color w:val="000000"/>
          <w:sz w:val="24"/>
          <w:szCs w:val="24"/>
        </w:rPr>
        <w:t>Palīgdzinēja piegāde kuģim UŽAVA</w:t>
      </w:r>
      <w:r w:rsidR="00B0200B" w:rsidRPr="00BB3577">
        <w:rPr>
          <w:rFonts w:ascii="Times New Roman" w:eastAsia="Times New Roman" w:hAnsi="Times New Roman" w:cs="Times New Roman"/>
          <w:b/>
          <w:color w:val="000000"/>
          <w:sz w:val="24"/>
          <w:szCs w:val="24"/>
        </w:rPr>
        <w:t>”</w:t>
      </w:r>
    </w:p>
    <w:p w14:paraId="1C884D47" w14:textId="6B101592"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w:t>
      </w:r>
      <w:r w:rsidR="00CB27EB">
        <w:rPr>
          <w:rFonts w:ascii="Times New Roman" w:eastAsia="Times New Roman" w:hAnsi="Times New Roman" w:cs="Times New Roman"/>
          <w:b/>
          <w:color w:val="000000"/>
          <w:sz w:val="24"/>
          <w:szCs w:val="24"/>
        </w:rPr>
        <w:t>20</w:t>
      </w:r>
      <w:r w:rsidRPr="00BB3577">
        <w:rPr>
          <w:rFonts w:ascii="Times New Roman" w:eastAsia="Times New Roman" w:hAnsi="Times New Roman" w:cs="Times New Roman"/>
          <w:b/>
          <w:color w:val="000000"/>
          <w:sz w:val="24"/>
          <w:szCs w:val="24"/>
        </w:rPr>
        <w:t>/</w:t>
      </w:r>
      <w:r w:rsidR="00FF78D0">
        <w:rPr>
          <w:rFonts w:ascii="Times New Roman" w:eastAsia="Times New Roman" w:hAnsi="Times New Roman" w:cs="Times New Roman"/>
          <w:b/>
          <w:color w:val="000000"/>
          <w:sz w:val="24"/>
          <w:szCs w:val="24"/>
        </w:rPr>
        <w:t>95</w:t>
      </w:r>
    </w:p>
    <w:p w14:paraId="34095870"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65928AA4"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41DD9A2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6D6EDB0C"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69A2BFD1" w14:textId="77777777" w:rsidTr="00AD5A64">
        <w:tc>
          <w:tcPr>
            <w:tcW w:w="3260" w:type="dxa"/>
            <w:vAlign w:val="center"/>
          </w:tcPr>
          <w:p w14:paraId="50D64D4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485E6DA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6A08E2F" w14:textId="77777777" w:rsidTr="00AD5A64">
        <w:tc>
          <w:tcPr>
            <w:tcW w:w="3260" w:type="dxa"/>
            <w:vAlign w:val="center"/>
          </w:tcPr>
          <w:p w14:paraId="23A5AEB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62B4FC9"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39DC669A" w14:textId="77777777" w:rsidTr="00AD5A64">
        <w:tc>
          <w:tcPr>
            <w:tcW w:w="3260" w:type="dxa"/>
            <w:vAlign w:val="center"/>
          </w:tcPr>
          <w:p w14:paraId="387B9BCF"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Nodokļu maksātāja reģistrācijas numurs</w:t>
            </w:r>
          </w:p>
        </w:tc>
        <w:tc>
          <w:tcPr>
            <w:tcW w:w="5529" w:type="dxa"/>
            <w:vAlign w:val="center"/>
          </w:tcPr>
          <w:p w14:paraId="79151BE7"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90000284085</w:t>
            </w:r>
          </w:p>
        </w:tc>
      </w:tr>
      <w:tr w:rsidR="0002681A" w:rsidRPr="00BB3577" w14:paraId="72595390" w14:textId="77777777" w:rsidTr="00AD5A64">
        <w:tc>
          <w:tcPr>
            <w:tcW w:w="3260" w:type="dxa"/>
            <w:vAlign w:val="center"/>
          </w:tcPr>
          <w:p w14:paraId="5758FB2F"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Tālruņa numurs</w:t>
            </w:r>
          </w:p>
        </w:tc>
        <w:tc>
          <w:tcPr>
            <w:tcW w:w="5529" w:type="dxa"/>
            <w:vAlign w:val="center"/>
          </w:tcPr>
          <w:p w14:paraId="0BA920BB"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63622586</w:t>
            </w:r>
          </w:p>
        </w:tc>
      </w:tr>
      <w:tr w:rsidR="0002681A" w:rsidRPr="00BB3577" w14:paraId="7C1092D5" w14:textId="77777777" w:rsidTr="00AD5A64">
        <w:tc>
          <w:tcPr>
            <w:tcW w:w="3260" w:type="dxa"/>
            <w:vAlign w:val="center"/>
          </w:tcPr>
          <w:p w14:paraId="67E7ACE7"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Faksa numurs</w:t>
            </w:r>
          </w:p>
        </w:tc>
        <w:tc>
          <w:tcPr>
            <w:tcW w:w="5529" w:type="dxa"/>
            <w:vAlign w:val="center"/>
          </w:tcPr>
          <w:p w14:paraId="3DE101D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63621297</w:t>
            </w:r>
          </w:p>
        </w:tc>
      </w:tr>
      <w:tr w:rsidR="0002681A" w:rsidRPr="00BB3577" w14:paraId="0E6F6753" w14:textId="77777777" w:rsidTr="00AD5A64">
        <w:tc>
          <w:tcPr>
            <w:tcW w:w="3260" w:type="dxa"/>
            <w:vAlign w:val="center"/>
          </w:tcPr>
          <w:p w14:paraId="22DDEDA4"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E-pasta adrese</w:t>
            </w:r>
          </w:p>
        </w:tc>
        <w:tc>
          <w:tcPr>
            <w:tcW w:w="5529" w:type="dxa"/>
            <w:vAlign w:val="center"/>
          </w:tcPr>
          <w:p w14:paraId="36F27496" w14:textId="77777777" w:rsidR="0002681A" w:rsidRPr="002B3473" w:rsidRDefault="00FF78D0"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2B3473">
                <w:rPr>
                  <w:rStyle w:val="Hyperlink"/>
                  <w:rFonts w:ascii="Times New Roman" w:hAnsi="Times New Roman" w:cs="Times New Roman"/>
                  <w:sz w:val="24"/>
                  <w:szCs w:val="24"/>
                </w:rPr>
                <w:t>iepirkumi@vbp.lv</w:t>
              </w:r>
            </w:hyperlink>
            <w:r w:rsidR="0002681A" w:rsidRPr="002B3473">
              <w:rPr>
                <w:rFonts w:ascii="Times New Roman" w:hAnsi="Times New Roman" w:cs="Times New Roman"/>
                <w:sz w:val="24"/>
                <w:szCs w:val="24"/>
              </w:rPr>
              <w:t xml:space="preserve"> </w:t>
            </w:r>
          </w:p>
        </w:tc>
      </w:tr>
      <w:tr w:rsidR="0002681A" w:rsidRPr="00BB3577" w14:paraId="71C0DF3B" w14:textId="77777777" w:rsidTr="00AD5A64">
        <w:tc>
          <w:tcPr>
            <w:tcW w:w="3260" w:type="dxa"/>
            <w:vAlign w:val="center"/>
          </w:tcPr>
          <w:p w14:paraId="62DBA3E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Kontaktpersona </w:t>
            </w:r>
          </w:p>
        </w:tc>
        <w:tc>
          <w:tcPr>
            <w:tcW w:w="5529" w:type="dxa"/>
            <w:vAlign w:val="center"/>
          </w:tcPr>
          <w:p w14:paraId="1F2BE36F" w14:textId="77777777" w:rsidR="0002681A" w:rsidRPr="002B3473" w:rsidRDefault="00055846" w:rsidP="00F454AF">
            <w:pPr>
              <w:overflowPunct w:val="0"/>
              <w:autoSpaceDE w:val="0"/>
              <w:autoSpaceDN w:val="0"/>
              <w:adjustRightInd w:val="0"/>
              <w:spacing w:after="0"/>
              <w:textAlignment w:val="baseline"/>
              <w:rPr>
                <w:rFonts w:ascii="Times New Roman" w:hAnsi="Times New Roman" w:cs="Times New Roman"/>
                <w:sz w:val="24"/>
                <w:szCs w:val="24"/>
              </w:rPr>
            </w:pPr>
            <w:r w:rsidRPr="00055846">
              <w:rPr>
                <w:rFonts w:ascii="Times New Roman" w:eastAsia="Calibri" w:hAnsi="Times New Roman" w:cs="Times New Roman"/>
                <w:sz w:val="24"/>
                <w:szCs w:val="24"/>
              </w:rPr>
              <w:t>Uldis Mucenieks</w:t>
            </w:r>
            <w:r>
              <w:rPr>
                <w:rFonts w:ascii="Times New Roman" w:eastAsia="Calibri" w:hAnsi="Times New Roman" w:cs="Times New Roman"/>
                <w:sz w:val="24"/>
                <w:szCs w:val="24"/>
              </w:rPr>
              <w:t>, mob. +371 26358771</w:t>
            </w:r>
            <w:r w:rsidR="007A27C0" w:rsidRPr="002B3473">
              <w:rPr>
                <w:rFonts w:ascii="Times New Roman" w:eastAsia="Calibri" w:hAnsi="Times New Roman" w:cs="Times New Roman"/>
                <w:sz w:val="24"/>
                <w:szCs w:val="24"/>
              </w:rPr>
              <w:t xml:space="preserve">, e-pasta adrese, </w:t>
            </w:r>
            <w:hyperlink r:id="rId9" w:history="1">
              <w:r w:rsidR="00C73776" w:rsidRPr="00382E49">
                <w:rPr>
                  <w:rStyle w:val="Hyperlink"/>
                  <w:rFonts w:ascii="Times New Roman" w:eastAsia="Calibri" w:hAnsi="Times New Roman" w:cs="Times New Roman"/>
                  <w:sz w:val="24"/>
                  <w:szCs w:val="24"/>
                </w:rPr>
                <w:t>uldis.mucenieks@vbp.lv</w:t>
              </w:r>
            </w:hyperlink>
            <w:r w:rsidR="00F454AF" w:rsidRPr="002B3473">
              <w:rPr>
                <w:rFonts w:ascii="Times New Roman" w:eastAsia="Calibri" w:hAnsi="Times New Roman" w:cs="Times New Roman"/>
                <w:sz w:val="24"/>
                <w:szCs w:val="24"/>
              </w:rPr>
              <w:t>.</w:t>
            </w:r>
          </w:p>
        </w:tc>
      </w:tr>
      <w:tr w:rsidR="002B3473" w:rsidRPr="00BB3577" w14:paraId="27D0F1D6" w14:textId="77777777" w:rsidTr="00AD5A64">
        <w:tc>
          <w:tcPr>
            <w:tcW w:w="3260" w:type="dxa"/>
            <w:vAlign w:val="center"/>
          </w:tcPr>
          <w:p w14:paraId="0F40C655" w14:textId="77777777"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Banka </w:t>
            </w:r>
          </w:p>
        </w:tc>
        <w:tc>
          <w:tcPr>
            <w:tcW w:w="5529" w:type="dxa"/>
            <w:vAlign w:val="center"/>
          </w:tcPr>
          <w:p w14:paraId="430573EF" w14:textId="77777777" w:rsidR="002B3473" w:rsidRPr="002B3473" w:rsidRDefault="002B3473" w:rsidP="002B3473">
            <w:pPr>
              <w:overflowPunct w:val="0"/>
              <w:autoSpaceDE w:val="0"/>
              <w:spacing w:after="0" w:line="240" w:lineRule="auto"/>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lang w:eastAsia="lv-LV"/>
              </w:rPr>
              <w:t xml:space="preserve">AS „Luminor Bank”, </w:t>
            </w:r>
          </w:p>
          <w:p w14:paraId="433D757C" w14:textId="77777777" w:rsidR="002B3473" w:rsidRPr="002B3473" w:rsidRDefault="002B3473" w:rsidP="002B347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B3473">
              <w:rPr>
                <w:rFonts w:ascii="Times New Roman" w:hAnsi="Times New Roman" w:cs="Times New Roman"/>
                <w:sz w:val="24"/>
                <w:szCs w:val="24"/>
              </w:rPr>
              <w:t>bankas kods RIKOLV2X</w:t>
            </w:r>
          </w:p>
        </w:tc>
      </w:tr>
      <w:tr w:rsidR="002B3473" w:rsidRPr="00BB3577" w14:paraId="0A84684F" w14:textId="77777777" w:rsidTr="006E1152">
        <w:tc>
          <w:tcPr>
            <w:tcW w:w="3260" w:type="dxa"/>
            <w:vAlign w:val="center"/>
          </w:tcPr>
          <w:p w14:paraId="15DA65C7" w14:textId="77777777"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Bankas konts</w:t>
            </w:r>
          </w:p>
        </w:tc>
        <w:tc>
          <w:tcPr>
            <w:tcW w:w="5529" w:type="dxa"/>
          </w:tcPr>
          <w:p w14:paraId="767F3E42" w14:textId="77777777" w:rsidR="002B3473" w:rsidRPr="002B3473" w:rsidRDefault="002B3473" w:rsidP="002B3473">
            <w:pPr>
              <w:overflowPunct w:val="0"/>
              <w:autoSpaceDE w:val="0"/>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rPr>
              <w:t>LV73RIKO0002210002268</w:t>
            </w:r>
          </w:p>
        </w:tc>
      </w:tr>
    </w:tbl>
    <w:p w14:paraId="14A25BC5"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33A74978"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33BA3D36" w14:textId="676F45EF" w:rsidR="001D2183" w:rsidRPr="00144109"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 xml:space="preserve">Nr. </w:t>
      </w:r>
      <w:r w:rsidR="00A924AD" w:rsidRPr="00144109">
        <w:rPr>
          <w:rFonts w:ascii="Times New Roman" w:eastAsia="Times New Roman" w:hAnsi="Times New Roman" w:cs="Times New Roman"/>
          <w:sz w:val="24"/>
          <w:szCs w:val="24"/>
        </w:rPr>
        <w:t>VBOP 20</w:t>
      </w:r>
      <w:r w:rsidR="00BC105E" w:rsidRPr="00144109">
        <w:rPr>
          <w:rFonts w:ascii="Times New Roman" w:eastAsia="Times New Roman" w:hAnsi="Times New Roman" w:cs="Times New Roman"/>
          <w:sz w:val="24"/>
          <w:szCs w:val="24"/>
        </w:rPr>
        <w:t>20</w:t>
      </w:r>
      <w:r w:rsidR="00A924AD" w:rsidRPr="00144109">
        <w:rPr>
          <w:rFonts w:ascii="Times New Roman" w:eastAsia="Times New Roman" w:hAnsi="Times New Roman" w:cs="Times New Roman"/>
          <w:sz w:val="24"/>
          <w:szCs w:val="24"/>
        </w:rPr>
        <w:t>/</w:t>
      </w:r>
      <w:r w:rsidR="00FF78D0">
        <w:rPr>
          <w:rFonts w:ascii="Times New Roman" w:eastAsia="Times New Roman" w:hAnsi="Times New Roman" w:cs="Times New Roman"/>
          <w:sz w:val="24"/>
          <w:szCs w:val="24"/>
        </w:rPr>
        <w:t>95</w:t>
      </w:r>
    </w:p>
    <w:p w14:paraId="0ACB1870" w14:textId="77777777"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p>
    <w:p w14:paraId="2C752FAB"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26B288B1"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2A32B26A" w14:textId="77777777"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w:t>
      </w:r>
      <w:r w:rsidR="002B3473">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75F34440"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108E50DA"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3EC06994" w14:textId="77777777" w:rsidR="001061FE" w:rsidRPr="001061FE" w:rsidRDefault="00170A20"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bookmarkStart w:id="0" w:name="_Hlk49957052"/>
      <w:r>
        <w:rPr>
          <w:rFonts w:ascii="Times New Roman" w:eastAsia="Times New Roman" w:hAnsi="Times New Roman" w:cs="Times New Roman"/>
          <w:sz w:val="24"/>
          <w:szCs w:val="24"/>
          <w:lang w:eastAsia="lv-LV"/>
        </w:rPr>
        <w:t xml:space="preserve">Kapitāli remontēta dzinēja </w:t>
      </w:r>
      <w:r w:rsidR="001061FE">
        <w:rPr>
          <w:rFonts w:ascii="Times New Roman" w:eastAsia="Times New Roman" w:hAnsi="Times New Roman" w:cs="Times New Roman"/>
          <w:sz w:val="24"/>
          <w:szCs w:val="24"/>
          <w:lang w:eastAsia="lv-LV"/>
        </w:rPr>
        <w:t>piegāde saskaņā ar Tehnisko specifikāciju</w:t>
      </w:r>
      <w:r>
        <w:rPr>
          <w:rFonts w:ascii="Times New Roman" w:eastAsia="Times New Roman" w:hAnsi="Times New Roman" w:cs="Times New Roman"/>
          <w:sz w:val="24"/>
          <w:szCs w:val="24"/>
          <w:lang w:eastAsia="lv-LV"/>
        </w:rPr>
        <w:t xml:space="preserve"> </w:t>
      </w:r>
      <w:bookmarkEnd w:id="0"/>
      <w:r>
        <w:rPr>
          <w:rFonts w:ascii="Times New Roman" w:eastAsia="Times New Roman" w:hAnsi="Times New Roman" w:cs="Times New Roman"/>
          <w:sz w:val="24"/>
          <w:szCs w:val="24"/>
          <w:lang w:eastAsia="lv-LV"/>
        </w:rPr>
        <w:t>(1.pielikums)</w:t>
      </w:r>
      <w:r w:rsidR="001061FE">
        <w:rPr>
          <w:rFonts w:ascii="Times New Roman" w:eastAsia="Times New Roman" w:hAnsi="Times New Roman" w:cs="Times New Roman"/>
          <w:sz w:val="24"/>
          <w:szCs w:val="24"/>
          <w:lang w:eastAsia="lv-LV"/>
        </w:rPr>
        <w:t>.</w:t>
      </w:r>
    </w:p>
    <w:p w14:paraId="769F16F3" w14:textId="77777777" w:rsidR="00026B82" w:rsidRPr="00170A20" w:rsidRDefault="001061FE"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Pretendents var sagatavot un iesniegt piedāvājuma variantus: </w:t>
      </w:r>
      <w:r w:rsidR="005F49C7">
        <w:rPr>
          <w:rFonts w:ascii="Times New Roman" w:eastAsia="Times New Roman" w:hAnsi="Times New Roman" w:cs="Times New Roman"/>
          <w:sz w:val="24"/>
          <w:szCs w:val="24"/>
          <w:lang w:eastAsia="lv-LV"/>
        </w:rPr>
        <w:t xml:space="preserve"> </w:t>
      </w:r>
    </w:p>
    <w:p w14:paraId="50404D5B" w14:textId="77777777" w:rsidR="00170A20" w:rsidRPr="005F49C7" w:rsidRDefault="005F49C7" w:rsidP="005F49C7">
      <w:pPr>
        <w:pStyle w:val="ListParagraph"/>
        <w:numPr>
          <w:ilvl w:val="2"/>
          <w:numId w:val="15"/>
        </w:num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Bez vecā dzinēja atdošanas piegādātājam,</w:t>
      </w:r>
    </w:p>
    <w:p w14:paraId="4DE4773F" w14:textId="77777777" w:rsidR="005F49C7" w:rsidRPr="00B50CA8" w:rsidRDefault="005F49C7" w:rsidP="005F49C7">
      <w:pPr>
        <w:pStyle w:val="ListParagraph"/>
        <w:numPr>
          <w:ilvl w:val="2"/>
          <w:numId w:val="15"/>
        </w:num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Ar vecā dzinēja atdošanu piegādātājam pret kompensāciju</w:t>
      </w:r>
      <w:r w:rsidR="00287AEB">
        <w:rPr>
          <w:rFonts w:ascii="Times New Roman" w:eastAsia="Times New Roman" w:hAnsi="Times New Roman" w:cs="Times New Roman"/>
          <w:sz w:val="24"/>
          <w:szCs w:val="24"/>
        </w:rPr>
        <w:t>, nosakot laika limitu, kādā vecais dzinējs jāatdod piegādātājam.</w:t>
      </w:r>
    </w:p>
    <w:p w14:paraId="50BF87E6" w14:textId="77777777" w:rsidR="00B50CA8" w:rsidRPr="005537EC" w:rsidRDefault="00A825D8"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 </w:t>
      </w:r>
      <w:r w:rsidR="001061FE">
        <w:rPr>
          <w:rFonts w:ascii="Times New Roman" w:eastAsia="Times New Roman" w:hAnsi="Times New Roman" w:cs="Times New Roman"/>
          <w:sz w:val="24"/>
          <w:szCs w:val="24"/>
          <w:lang w:eastAsia="lv-LV"/>
        </w:rPr>
        <w:t>Dzinēja</w:t>
      </w:r>
      <w:r w:rsidR="005F49C7">
        <w:rPr>
          <w:rFonts w:ascii="Times New Roman" w:eastAsia="Times New Roman" w:hAnsi="Times New Roman" w:cs="Times New Roman"/>
          <w:sz w:val="24"/>
          <w:szCs w:val="24"/>
          <w:lang w:eastAsia="lv-LV"/>
        </w:rPr>
        <w:t xml:space="preserve"> piegāde jāveic 1</w:t>
      </w:r>
      <w:r w:rsidR="001061FE">
        <w:rPr>
          <w:rFonts w:ascii="Times New Roman" w:eastAsia="Times New Roman" w:hAnsi="Times New Roman" w:cs="Times New Roman"/>
          <w:sz w:val="24"/>
          <w:szCs w:val="24"/>
          <w:lang w:eastAsia="lv-LV"/>
        </w:rPr>
        <w:t>(viena)</w:t>
      </w:r>
      <w:r w:rsidR="005F49C7">
        <w:rPr>
          <w:rFonts w:ascii="Times New Roman" w:eastAsia="Times New Roman" w:hAnsi="Times New Roman" w:cs="Times New Roman"/>
          <w:sz w:val="24"/>
          <w:szCs w:val="24"/>
          <w:lang w:eastAsia="lv-LV"/>
        </w:rPr>
        <w:t xml:space="preserve"> mēneša laikā</w:t>
      </w:r>
      <w:r w:rsidR="001639D0" w:rsidRPr="00B50CA8">
        <w:rPr>
          <w:rFonts w:ascii="Times New Roman" w:eastAsia="Times New Roman" w:hAnsi="Times New Roman" w:cs="Times New Roman"/>
          <w:color w:val="000000"/>
          <w:sz w:val="24"/>
          <w:szCs w:val="24"/>
        </w:rPr>
        <w:t>.</w:t>
      </w:r>
    </w:p>
    <w:p w14:paraId="5ECD5E7D"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Gara</w:t>
      </w:r>
      <w:r w:rsidR="005F49C7">
        <w:rPr>
          <w:rFonts w:ascii="Times New Roman" w:eastAsia="Times New Roman" w:hAnsi="Times New Roman" w:cs="Times New Roman"/>
          <w:color w:val="000000"/>
          <w:sz w:val="24"/>
          <w:szCs w:val="24"/>
        </w:rPr>
        <w:t>ntijas laiks – ne maz</w:t>
      </w:r>
      <w:r w:rsidR="005C2001">
        <w:rPr>
          <w:rFonts w:ascii="Times New Roman" w:eastAsia="Times New Roman" w:hAnsi="Times New Roman" w:cs="Times New Roman"/>
          <w:color w:val="000000"/>
          <w:sz w:val="24"/>
          <w:szCs w:val="24"/>
        </w:rPr>
        <w:t xml:space="preserve">āk </w:t>
      </w:r>
      <w:r w:rsidR="005F49C7">
        <w:rPr>
          <w:rFonts w:ascii="Times New Roman" w:eastAsia="Times New Roman" w:hAnsi="Times New Roman" w:cs="Times New Roman"/>
          <w:color w:val="000000"/>
          <w:sz w:val="24"/>
          <w:szCs w:val="24"/>
        </w:rPr>
        <w:t>kā 12 mēneši (neatkarīgi no nostrādātajām darba stundām)</w:t>
      </w:r>
      <w:r>
        <w:rPr>
          <w:rFonts w:ascii="Times New Roman" w:eastAsia="Times New Roman" w:hAnsi="Times New Roman" w:cs="Times New Roman"/>
          <w:color w:val="000000"/>
          <w:sz w:val="24"/>
          <w:szCs w:val="24"/>
        </w:rPr>
        <w:t xml:space="preserve"> </w:t>
      </w:r>
      <w:r w:rsidR="005C2001">
        <w:rPr>
          <w:rFonts w:ascii="Times New Roman" w:eastAsia="Times New Roman" w:hAnsi="Times New Roman" w:cs="Times New Roman"/>
          <w:color w:val="000000"/>
          <w:sz w:val="24"/>
          <w:szCs w:val="24"/>
        </w:rPr>
        <w:t xml:space="preserve"> no </w:t>
      </w:r>
      <w:r>
        <w:rPr>
          <w:rFonts w:ascii="Times New Roman" w:eastAsia="Times New Roman" w:hAnsi="Times New Roman" w:cs="Times New Roman"/>
          <w:color w:val="000000"/>
          <w:sz w:val="24"/>
          <w:szCs w:val="24"/>
        </w:rPr>
        <w:t>piegādes brīža.</w:t>
      </w:r>
    </w:p>
    <w:p w14:paraId="07AEDCBF"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lastRenderedPageBreak/>
        <w:t xml:space="preserve"> piegādes vieta – Dienvidu mols 4, Ventspils.</w:t>
      </w:r>
    </w:p>
    <w:p w14:paraId="5A573E1D" w14:textId="4DC05343" w:rsidR="001E3E6A" w:rsidRPr="00B45960" w:rsidRDefault="001E3E6A"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hAnsi="Times New Roman"/>
          <w:sz w:val="24"/>
          <w:szCs w:val="24"/>
        </w:rPr>
        <w:t xml:space="preserve">Avanss </w:t>
      </w:r>
      <w:r w:rsidR="00123EB5">
        <w:rPr>
          <w:rFonts w:ascii="Times New Roman" w:hAnsi="Times New Roman"/>
          <w:sz w:val="24"/>
          <w:szCs w:val="24"/>
        </w:rPr>
        <w:t xml:space="preserve">netiek paredzēts. </w:t>
      </w:r>
    </w:p>
    <w:p w14:paraId="6647124C" w14:textId="6318C8C7" w:rsidR="00B45960" w:rsidRPr="001E3E6A" w:rsidRDefault="00B45960"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hAnsi="Times New Roman"/>
          <w:sz w:val="24"/>
          <w:szCs w:val="24"/>
        </w:rPr>
        <w:t xml:space="preserve">Ventspils brīvostas pārvaldes budžetā paredzētie līdzekļi šim iepirkumam 9500,00 EUR tai skaitā PVN. </w:t>
      </w:r>
    </w:p>
    <w:p w14:paraId="5FF6B740" w14:textId="77777777"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1061FE">
        <w:rPr>
          <w:rFonts w:ascii="Times New Roman" w:eastAsia="Times New Roman" w:hAnsi="Times New Roman" w:cs="Times New Roman"/>
          <w:sz w:val="24"/>
          <w:szCs w:val="24"/>
          <w:lang w:eastAsia="lv-LV"/>
        </w:rPr>
        <w:t>divos variantos, sk. 3.2.1 un 3.2</w:t>
      </w:r>
      <w:r w:rsidR="00287AEB">
        <w:rPr>
          <w:rFonts w:ascii="Times New Roman" w:eastAsia="Times New Roman" w:hAnsi="Times New Roman" w:cs="Times New Roman"/>
          <w:sz w:val="24"/>
          <w:szCs w:val="24"/>
          <w:lang w:eastAsia="lv-LV"/>
        </w:rPr>
        <w:t xml:space="preserve">.2. </w:t>
      </w:r>
      <w:r w:rsidR="00A33655" w:rsidRPr="00BB3577">
        <w:rPr>
          <w:rFonts w:ascii="Times New Roman" w:eastAsia="Times New Roman" w:hAnsi="Times New Roman" w:cs="Times New Roman"/>
          <w:sz w:val="24"/>
          <w:szCs w:val="24"/>
          <w:lang w:eastAsia="lv-LV"/>
        </w:rPr>
        <w:t xml:space="preserve"> </w:t>
      </w:r>
    </w:p>
    <w:p w14:paraId="16E0EE7D"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14:paraId="4E29FBE3"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BB3577">
        <w:rPr>
          <w:rFonts w:ascii="Times New Roman" w:eastAsia="Times New Roman" w:hAnsi="Times New Roman" w:cs="Times New Roman"/>
          <w:b/>
          <w:sz w:val="24"/>
          <w:szCs w:val="24"/>
        </w:rPr>
        <w:t>DALĪBAS NOSACĪJUMI IEPIRKUMA PROCEDŪRĀ</w:t>
      </w:r>
    </w:p>
    <w:p w14:paraId="3BB1226F"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582D68A"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r w:rsidRPr="00BB3577">
        <w:rPr>
          <w:i/>
          <w:iCs/>
        </w:rPr>
        <w:t>euro</w:t>
      </w:r>
      <w:r w:rsidRPr="00BB3577">
        <w:t>;</w:t>
      </w:r>
    </w:p>
    <w:p w14:paraId="576D3A48"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461C74F"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0627CB70" w14:textId="77777777"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FB441D5" w14:textId="77777777"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014E606C"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36D5D31F"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1"/>
    </w:p>
    <w:p w14:paraId="44111578" w14:textId="77777777" w:rsidR="006F5A73" w:rsidRPr="007E65DE" w:rsidRDefault="006F5A73" w:rsidP="006F5A73">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5E716D4A" w14:textId="77777777"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407AA1C6" w14:textId="77777777" w:rsidR="006F5A73" w:rsidRPr="008E3FCC"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Pretendents ir tiesīgs iesniegt Eiropas vienoto iepirkuma procedūras dokumentu </w:t>
      </w:r>
      <w:r w:rsidR="002B3473" w:rsidRPr="00863D3E">
        <w:rPr>
          <w:rFonts w:ascii="Times New Roman" w:hAnsi="Times New Roman" w:cs="Times New Roman"/>
          <w:sz w:val="24"/>
          <w:szCs w:val="24"/>
        </w:rPr>
        <w:t xml:space="preserve">(veidlapa pieejama </w:t>
      </w:r>
      <w:hyperlink r:id="rId10" w:history="1">
        <w:r w:rsidR="002B3473" w:rsidRPr="00863D3E">
          <w:rPr>
            <w:rFonts w:ascii="Times New Roman" w:hAnsi="Times New Roman" w:cs="Times New Roman"/>
            <w:sz w:val="24"/>
            <w:szCs w:val="24"/>
            <w:u w:val="single"/>
            <w:lang w:eastAsia="lv-LV"/>
          </w:rPr>
          <w:t>http://espd.eis.gov.lv/</w:t>
        </w:r>
      </w:hyperlink>
      <w:r w:rsidR="002B3473" w:rsidRPr="00863D3E">
        <w:rPr>
          <w:rFonts w:ascii="Times New Roman" w:hAnsi="Times New Roman" w:cs="Times New Roman"/>
          <w:sz w:val="24"/>
          <w:szCs w:val="24"/>
          <w:lang w:eastAsia="lv-LV"/>
        </w:rPr>
        <w:t>)</w:t>
      </w:r>
      <w:r w:rsidR="002B3473" w:rsidRPr="00863D3E">
        <w:rPr>
          <w:rFonts w:ascii="Times New Roman" w:hAnsi="Times New Roman" w:cs="Times New Roman"/>
          <w:sz w:val="24"/>
          <w:szCs w:val="24"/>
        </w:rPr>
        <w:t xml:space="preserve"> </w:t>
      </w:r>
      <w:r w:rsidRPr="002B3473">
        <w:rPr>
          <w:rFonts w:ascii="Times New Roman" w:eastAsia="Times New Roman" w:hAnsi="Times New Roman" w:cs="Times New Roman"/>
          <w:sz w:val="24"/>
          <w:szCs w:val="24"/>
          <w:lang w:eastAsia="lv-LV"/>
        </w:rPr>
        <w:t>kā sākotnējo pierādījumu atbilstībai paziņojumā par līgumu vai iepirkuma procedūras dokumentos noteiktajām pretendentu atlases prasībām. Ja Pretendents</w:t>
      </w:r>
      <w:r w:rsidRPr="008E3FCC">
        <w:rPr>
          <w:rFonts w:ascii="Times New Roman" w:eastAsia="Times New Roman" w:hAnsi="Times New Roman" w:cs="Times New Roman"/>
          <w:sz w:val="24"/>
          <w:szCs w:val="24"/>
          <w:lang w:eastAsia="lv-LV"/>
        </w:rPr>
        <w:t xml:space="preserve"> izvēlējies iesniegt Eiropas vienoto iepirkuma procedūras dokumentu, lai apliecinātu, ka tas atbilst paziņojumā par līgumu vai iepirkuma procedūras dokumentos noteiktajām pretendentu un kandidātu atlases prasībām, tas iesniedz šo dokumentu arī par </w:t>
      </w:r>
      <w:r w:rsidRPr="008E3FCC">
        <w:rPr>
          <w:rFonts w:ascii="Times New Roman" w:eastAsia="Times New Roman" w:hAnsi="Times New Roman" w:cs="Times New Roman"/>
          <w:sz w:val="24"/>
          <w:szCs w:val="24"/>
          <w:lang w:eastAsia="lv-LV"/>
        </w:rPr>
        <w:lastRenderedPageBreak/>
        <w:t xml:space="preserve">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w:t>
      </w:r>
      <w:r>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3B9D065E" w14:textId="77777777" w:rsidR="006F5A73" w:rsidRPr="00BB3577"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120A0B09"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2656054E" w14:textId="06930440" w:rsidR="00B0200B" w:rsidRPr="001061FE" w:rsidRDefault="00B0200B" w:rsidP="001061FE">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 xml:space="preserve">Piedāvājumu var </w:t>
      </w:r>
      <w:bookmarkStart w:id="2" w:name="_Hlk49958484"/>
      <w:r w:rsidRPr="00BB3577">
        <w:rPr>
          <w:rFonts w:ascii="Times New Roman" w:eastAsia="Times New Roman" w:hAnsi="Times New Roman" w:cs="Times New Roman"/>
          <w:sz w:val="24"/>
          <w:szCs w:val="24"/>
        </w:rPr>
        <w:t>iesniegt personīgi vai nosūtīt pa pastu ar piegādi un izsniegšanu Komisijas sekretārei</w:t>
      </w:r>
      <w:bookmarkEnd w:id="2"/>
      <w:r w:rsidRPr="00BB3577">
        <w:rPr>
          <w:rFonts w:ascii="Times New Roman" w:eastAsia="Times New Roman" w:hAnsi="Times New Roman" w:cs="Times New Roman"/>
          <w:sz w:val="24"/>
          <w:szCs w:val="24"/>
        </w:rPr>
        <w:t xml:space="preserve"> līdz 20</w:t>
      </w:r>
      <w:r w:rsidR="00EB072B">
        <w:rPr>
          <w:rFonts w:ascii="Times New Roman" w:eastAsia="Times New Roman" w:hAnsi="Times New Roman" w:cs="Times New Roman"/>
          <w:sz w:val="24"/>
          <w:szCs w:val="24"/>
        </w:rPr>
        <w:t>20</w:t>
      </w:r>
      <w:r w:rsidRPr="00BB3577">
        <w:rPr>
          <w:rFonts w:ascii="Times New Roman" w:eastAsia="Times New Roman" w:hAnsi="Times New Roman" w:cs="Times New Roman"/>
          <w:sz w:val="24"/>
          <w:szCs w:val="24"/>
        </w:rPr>
        <w:t>.g</w:t>
      </w:r>
      <w:r w:rsidR="001061FE">
        <w:rPr>
          <w:rFonts w:ascii="Times New Roman" w:eastAsia="Times New Roman" w:hAnsi="Times New Roman" w:cs="Times New Roman"/>
          <w:sz w:val="24"/>
          <w:szCs w:val="24"/>
        </w:rPr>
        <w:t xml:space="preserve">ada </w:t>
      </w:r>
      <w:r w:rsidR="00FF78D0">
        <w:rPr>
          <w:rFonts w:ascii="Times New Roman" w:eastAsia="Times New Roman" w:hAnsi="Times New Roman" w:cs="Times New Roman"/>
          <w:sz w:val="24"/>
          <w:szCs w:val="24"/>
        </w:rPr>
        <w:t>30</w:t>
      </w:r>
      <w:r w:rsidR="00144109">
        <w:rPr>
          <w:rFonts w:ascii="Times New Roman" w:eastAsia="Times New Roman" w:hAnsi="Times New Roman" w:cs="Times New Roman"/>
          <w:sz w:val="24"/>
          <w:szCs w:val="24"/>
        </w:rPr>
        <w:t>.septembr</w:t>
      </w:r>
      <w:r w:rsidR="00E84D11">
        <w:rPr>
          <w:rFonts w:ascii="Times New Roman" w:eastAsia="Times New Roman" w:hAnsi="Times New Roman" w:cs="Times New Roman"/>
          <w:sz w:val="24"/>
          <w:szCs w:val="24"/>
        </w:rPr>
        <w:t>im</w:t>
      </w:r>
      <w:r w:rsidR="00144109" w:rsidRPr="00BB3577">
        <w:rPr>
          <w:rFonts w:ascii="Times New Roman" w:eastAsia="Times New Roman" w:hAnsi="Times New Roman" w:cs="Times New Roman"/>
          <w:sz w:val="24"/>
          <w:szCs w:val="24"/>
        </w:rPr>
        <w:t xml:space="preserve"> </w:t>
      </w:r>
      <w:r w:rsidR="00CB6116" w:rsidRPr="00BB3577">
        <w:rPr>
          <w:rFonts w:ascii="Times New Roman" w:eastAsia="Times New Roman" w:hAnsi="Times New Roman" w:cs="Times New Roman"/>
          <w:sz w:val="24"/>
          <w:szCs w:val="24"/>
        </w:rPr>
        <w:t>plkst. 1</w:t>
      </w:r>
      <w:r w:rsidR="00FF78D0">
        <w:rPr>
          <w:rFonts w:ascii="Times New Roman" w:eastAsia="Times New Roman" w:hAnsi="Times New Roman" w:cs="Times New Roman"/>
          <w:sz w:val="24"/>
          <w:szCs w:val="24"/>
        </w:rPr>
        <w:t>1</w:t>
      </w:r>
      <w:r w:rsidR="00CB6116" w:rsidRPr="00BB3577">
        <w:rPr>
          <w:rFonts w:ascii="Times New Roman" w:eastAsia="Times New Roman" w:hAnsi="Times New Roman" w:cs="Times New Roman"/>
          <w:sz w:val="24"/>
          <w:szCs w:val="24"/>
          <w:vertAlign w:val="superscript"/>
        </w:rPr>
        <w:t>00</w:t>
      </w:r>
      <w:r w:rsidR="00CB6116">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4D163B2E"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8E9363D" w14:textId="4E9C33FE" w:rsidR="00B0200B" w:rsidRPr="00BB3577"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EB072B">
        <w:rPr>
          <w:rFonts w:ascii="Times New Roman" w:eastAsia="Times New Roman" w:hAnsi="Times New Roman" w:cs="Times New Roman"/>
          <w:sz w:val="24"/>
          <w:szCs w:val="24"/>
          <w:lang w:eastAsia="lv-LV"/>
        </w:rPr>
        <w:t xml:space="preserve"> līdz</w:t>
      </w:r>
      <w:r w:rsidR="002B3473">
        <w:rPr>
          <w:rFonts w:ascii="Times New Roman" w:eastAsia="Times New Roman" w:hAnsi="Times New Roman" w:cs="Times New Roman"/>
          <w:sz w:val="24"/>
          <w:szCs w:val="24"/>
          <w:lang w:eastAsia="lv-LV"/>
        </w:rPr>
        <w:t xml:space="preserve"> </w:t>
      </w:r>
      <w:r w:rsidR="00FF78D0">
        <w:rPr>
          <w:rFonts w:ascii="Times New Roman" w:eastAsia="Times New Roman" w:hAnsi="Times New Roman" w:cs="Times New Roman"/>
          <w:sz w:val="24"/>
          <w:szCs w:val="24"/>
          <w:lang w:eastAsia="lv-LV"/>
        </w:rPr>
        <w:t>30</w:t>
      </w:r>
      <w:r w:rsidR="002237A5">
        <w:rPr>
          <w:rFonts w:ascii="Times New Roman" w:eastAsia="Times New Roman" w:hAnsi="Times New Roman" w:cs="Times New Roman"/>
          <w:sz w:val="24"/>
          <w:szCs w:val="24"/>
          <w:lang w:eastAsia="lv-LV"/>
        </w:rPr>
        <w:t>.</w:t>
      </w:r>
      <w:r w:rsidR="00144109">
        <w:rPr>
          <w:rFonts w:ascii="Times New Roman" w:eastAsia="Times New Roman" w:hAnsi="Times New Roman" w:cs="Times New Roman"/>
          <w:sz w:val="24"/>
          <w:szCs w:val="24"/>
          <w:lang w:eastAsia="lv-LV"/>
        </w:rPr>
        <w:t>septembrim</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FF78D0">
        <w:rPr>
          <w:rFonts w:ascii="Times New Roman" w:eastAsia="Times New Roman" w:hAnsi="Times New Roman" w:cs="Times New Roman"/>
          <w:sz w:val="24"/>
          <w:szCs w:val="24"/>
        </w:rPr>
        <w:t>1</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14:paraId="55D2BCE4"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10A564E7"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341C9EE0" w14:textId="77777777" w:rsidR="002E3F5C" w:rsidRPr="002B3473"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2B3473">
        <w:rPr>
          <w:rFonts w:ascii="Times New Roman" w:eastAsia="Times New Roman" w:hAnsi="Times New Roman" w:cs="Times New Roman"/>
          <w:b/>
          <w:sz w:val="24"/>
          <w:szCs w:val="24"/>
        </w:rPr>
        <w:t>Parakstīt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un aizpildīt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Pretendenta pieteikum</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w:t>
      </w:r>
      <w:r w:rsidR="000C54C7" w:rsidRPr="002B3473">
        <w:rPr>
          <w:rFonts w:ascii="Times New Roman" w:eastAsia="Times New Roman" w:hAnsi="Times New Roman" w:cs="Times New Roman"/>
          <w:b/>
          <w:sz w:val="24"/>
          <w:szCs w:val="24"/>
        </w:rPr>
        <w:t>2</w:t>
      </w:r>
      <w:r w:rsidR="00D620D7" w:rsidRPr="002B3473">
        <w:rPr>
          <w:rFonts w:ascii="Times New Roman" w:eastAsia="Times New Roman" w:hAnsi="Times New Roman" w:cs="Times New Roman"/>
          <w:b/>
          <w:sz w:val="24"/>
          <w:szCs w:val="24"/>
        </w:rPr>
        <w:t>.</w:t>
      </w:r>
      <w:r w:rsidR="001E7693" w:rsidRPr="002B3473">
        <w:rPr>
          <w:rFonts w:ascii="Times New Roman" w:eastAsia="Times New Roman" w:hAnsi="Times New Roman" w:cs="Times New Roman"/>
          <w:b/>
          <w:sz w:val="24"/>
          <w:szCs w:val="24"/>
        </w:rPr>
        <w:t>pielikums)</w:t>
      </w:r>
      <w:r w:rsidR="00722314" w:rsidRPr="002B3473">
        <w:rPr>
          <w:rFonts w:ascii="Times New Roman" w:eastAsia="Times New Roman" w:hAnsi="Times New Roman" w:cs="Times New Roman"/>
          <w:b/>
          <w:sz w:val="24"/>
          <w:szCs w:val="24"/>
        </w:rPr>
        <w:t>.</w:t>
      </w:r>
    </w:p>
    <w:p w14:paraId="4907D09D" w14:textId="668455B8" w:rsidR="00026B82" w:rsidRPr="00845D41"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2B3473">
        <w:rPr>
          <w:rFonts w:ascii="Times New Roman" w:eastAsia="Times New Roman" w:hAnsi="Times New Roman" w:cs="Times New Roman"/>
          <w:b/>
          <w:sz w:val="24"/>
          <w:szCs w:val="24"/>
          <w:lang w:eastAsia="lv-LV"/>
        </w:rPr>
        <w:t>Ja Pretendents, lai nodrošinātu līgumsaistību izpildi, paredz balstīties uz citu piegādātāju iespējām, Pretendentam jāiesniedz apakšuzņēmēju saraksts un apakšuzņēmēja apliecinājums (</w:t>
      </w:r>
      <w:r w:rsidR="00144109">
        <w:rPr>
          <w:rFonts w:ascii="Times New Roman" w:eastAsia="Times New Roman" w:hAnsi="Times New Roman" w:cs="Times New Roman"/>
          <w:b/>
          <w:sz w:val="24"/>
          <w:szCs w:val="24"/>
          <w:lang w:eastAsia="lv-LV"/>
        </w:rPr>
        <w:t>3</w:t>
      </w:r>
      <w:r w:rsidR="007C3E88" w:rsidRPr="002B3473">
        <w:rPr>
          <w:rFonts w:ascii="Times New Roman" w:eastAsia="Times New Roman" w:hAnsi="Times New Roman" w:cs="Times New Roman"/>
          <w:b/>
          <w:sz w:val="24"/>
          <w:szCs w:val="24"/>
          <w:lang w:eastAsia="lv-LV"/>
        </w:rPr>
        <w:t>. p</w:t>
      </w:r>
      <w:r w:rsidRPr="002B3473">
        <w:rPr>
          <w:rFonts w:ascii="Times New Roman" w:eastAsia="Times New Roman" w:hAnsi="Times New Roman" w:cs="Times New Roman"/>
          <w:b/>
          <w:sz w:val="24"/>
          <w:szCs w:val="24"/>
          <w:lang w:eastAsia="lv-LV"/>
        </w:rPr>
        <w:t>ielikums).</w:t>
      </w:r>
    </w:p>
    <w:p w14:paraId="4BDAFDB0" w14:textId="77777777" w:rsidR="00845D41" w:rsidRPr="002B3473" w:rsidRDefault="00845D41"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Pr>
          <w:rFonts w:ascii="Times New Roman" w:eastAsia="Times New Roman" w:hAnsi="Times New Roman" w:cs="Times New Roman"/>
          <w:b/>
          <w:sz w:val="24"/>
          <w:szCs w:val="24"/>
          <w:lang w:eastAsia="lv-LV"/>
        </w:rPr>
        <w:t>Apliecinājums, ka piegādātais dzinējs ir absolūti identisks nomaināmam un atbilst Tehniskajā specifikācijā (1. pielikums) izvirzītajām prasībām, norādot piegādājamā dzinēja tehniskos parametrus.</w:t>
      </w:r>
    </w:p>
    <w:p w14:paraId="2B431CEF"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8B9C80D" w14:textId="77777777" w:rsidR="00246186" w:rsidRPr="00144109"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0014768A">
        <w:rPr>
          <w:rFonts w:ascii="Times New Roman" w:eastAsia="Times New Roman" w:hAnsi="Times New Roman" w:cs="Times New Roman"/>
          <w:bCs/>
          <w:color w:val="000000"/>
          <w:sz w:val="24"/>
          <w:szCs w:val="24"/>
        </w:rPr>
        <w:t xml:space="preserve">cena, </w:t>
      </w:r>
    </w:p>
    <w:p w14:paraId="1A3C82A7" w14:textId="172C65BA" w:rsidR="00306AA2" w:rsidRPr="00144109" w:rsidRDefault="00246186" w:rsidP="00144109">
      <w:pPr>
        <w:spacing w:after="0" w:line="240" w:lineRule="auto"/>
        <w:ind w:left="142"/>
        <w:jc w:val="both"/>
        <w:rPr>
          <w:rFonts w:ascii="Times New Roman" w:eastAsia="Times New Roman" w:hAnsi="Times New Roman" w:cs="Times New Roman"/>
          <w:b/>
          <w:bCs/>
          <w:smallCaps/>
          <w:color w:val="000000"/>
          <w:sz w:val="24"/>
          <w:szCs w:val="24"/>
        </w:rPr>
      </w:pPr>
      <w:r>
        <w:rPr>
          <w:rFonts w:ascii="Times New Roman" w:eastAsia="Times New Roman" w:hAnsi="Times New Roman" w:cs="Times New Roman"/>
          <w:bCs/>
          <w:color w:val="000000"/>
          <w:sz w:val="24"/>
          <w:szCs w:val="24"/>
        </w:rPr>
        <w:t xml:space="preserve">Gadījumos, ja Pretendents piedāvā vienādu līgumcenu abos piedāvājuma variantos </w:t>
      </w:r>
      <w:r w:rsidRPr="0049156B">
        <w:rPr>
          <w:rFonts w:ascii="Times New Roman" w:eastAsia="Times New Roman" w:hAnsi="Times New Roman" w:cs="Times New Roman"/>
          <w:bCs/>
          <w:color w:val="000000"/>
          <w:sz w:val="24"/>
          <w:szCs w:val="24"/>
        </w:rPr>
        <w:t>un kompensācija par veco dzinēju ir mazāka par 1000 EUR</w:t>
      </w:r>
      <w:r w:rsidRPr="0024618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par labāko piedāvājumu  tiek izvēlēts 1.varianta piedāvājums.</w:t>
      </w:r>
    </w:p>
    <w:p w14:paraId="1E6CF1AC"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54802561" w14:textId="77777777"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5326E888"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16B391A2" w14:textId="77777777" w:rsidR="00AB755F" w:rsidRPr="00BB3577" w:rsidRDefault="00AB755F" w:rsidP="006709AE">
      <w:pPr>
        <w:pStyle w:val="Heading1"/>
      </w:pPr>
      <w:r w:rsidRPr="00BB3577">
        <w:t>PIEDĀVĀJUMA SAGATAVOŠANA UN NOFORMĒŠANA</w:t>
      </w:r>
    </w:p>
    <w:p w14:paraId="01E6C0BB" w14:textId="3B31826F" w:rsidR="006F5A73" w:rsidRPr="00BB3577" w:rsidRDefault="006F5A73" w:rsidP="006F5A73">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w:t>
      </w:r>
      <w:r w:rsidR="00144109">
        <w:rPr>
          <w:rFonts w:ascii="Times New Roman" w:hAnsi="Times New Roman"/>
          <w:sz w:val="24"/>
          <w:lang w:val="lv-LV"/>
        </w:rPr>
        <w:t>8</w:t>
      </w:r>
      <w:r w:rsidRPr="00BB3577">
        <w:rPr>
          <w:rFonts w:ascii="Times New Roman" w:hAnsi="Times New Roman"/>
          <w:sz w:val="24"/>
        </w:rPr>
        <w:t xml:space="preserve">.gada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0C7C8759"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w:t>
      </w:r>
      <w:r w:rsidRPr="00BB3577">
        <w:rPr>
          <w:rFonts w:ascii="Times New Roman" w:hAnsi="Times New Roman"/>
          <w:sz w:val="24"/>
        </w:rPr>
        <w:lastRenderedPageBreak/>
        <w:t>normatīvo aktu prasības, kas jebkādā veidā var ietekmēt vai attiekties uz iesniegto piedāvājumu, iepirkuma līguma darbībām un aktivitātēm.</w:t>
      </w:r>
    </w:p>
    <w:p w14:paraId="20612AC4"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4AB26BF9"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39E504B0"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21F1B233" w14:textId="77777777"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504E1555" w14:textId="77777777"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E9550AB"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21449474"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5EFFE1EF"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198B65B8" w14:textId="13529141" w:rsidR="00AB755F" w:rsidRPr="00144109"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Piedāvājums atklātā iepirkumā </w:t>
      </w:r>
      <w:r w:rsidR="000C54C7" w:rsidRPr="002B3473">
        <w:rPr>
          <w:rFonts w:ascii="Times New Roman" w:eastAsia="Calibri" w:hAnsi="Times New Roman" w:cs="Times New Roman"/>
          <w:sz w:val="24"/>
          <w:szCs w:val="24"/>
        </w:rPr>
        <w:t>“</w:t>
      </w:r>
      <w:r w:rsidR="00807010">
        <w:rPr>
          <w:rFonts w:ascii="Times New Roman" w:eastAsia="Times New Roman" w:hAnsi="Times New Roman" w:cs="Times New Roman"/>
          <w:b/>
          <w:color w:val="000000"/>
          <w:sz w:val="24"/>
          <w:szCs w:val="24"/>
        </w:rPr>
        <w:t>Palīgdzinēja piegāde kuģim UŽAVA”</w:t>
      </w:r>
      <w:r w:rsidRPr="002B3473">
        <w:rPr>
          <w:rFonts w:ascii="Times New Roman" w:eastAsia="Times New Roman" w:hAnsi="Times New Roman" w:cs="Times New Roman"/>
          <w:sz w:val="24"/>
          <w:szCs w:val="24"/>
          <w:lang w:eastAsia="lv-LV"/>
        </w:rPr>
        <w:t xml:space="preserve">, </w:t>
      </w:r>
      <w:r w:rsidRPr="00144109">
        <w:rPr>
          <w:rFonts w:ascii="Times New Roman" w:eastAsia="Times New Roman" w:hAnsi="Times New Roman" w:cs="Times New Roman"/>
          <w:sz w:val="24"/>
          <w:szCs w:val="24"/>
          <w:lang w:eastAsia="lv-LV"/>
        </w:rPr>
        <w:t>iepirku</w:t>
      </w:r>
      <w:r w:rsidR="004677CD" w:rsidRPr="00144109">
        <w:rPr>
          <w:rFonts w:ascii="Times New Roman" w:eastAsia="Times New Roman" w:hAnsi="Times New Roman" w:cs="Times New Roman"/>
          <w:sz w:val="24"/>
          <w:szCs w:val="24"/>
          <w:lang w:eastAsia="lv-LV"/>
        </w:rPr>
        <w:t>ma identifikācijas Nr. VBOP 20</w:t>
      </w:r>
      <w:r w:rsidR="00EB072B" w:rsidRPr="00144109">
        <w:rPr>
          <w:rFonts w:ascii="Times New Roman" w:eastAsia="Times New Roman" w:hAnsi="Times New Roman" w:cs="Times New Roman"/>
          <w:sz w:val="24"/>
          <w:szCs w:val="24"/>
          <w:lang w:eastAsia="lv-LV"/>
        </w:rPr>
        <w:t>20</w:t>
      </w:r>
      <w:r w:rsidRPr="00144109">
        <w:rPr>
          <w:rFonts w:ascii="Times New Roman" w:eastAsia="Times New Roman" w:hAnsi="Times New Roman" w:cs="Times New Roman"/>
          <w:sz w:val="24"/>
          <w:szCs w:val="24"/>
          <w:lang w:eastAsia="lv-LV"/>
        </w:rPr>
        <w:t>/</w:t>
      </w:r>
      <w:r w:rsidR="00FF78D0">
        <w:rPr>
          <w:rFonts w:ascii="Times New Roman" w:eastAsia="Times New Roman" w:hAnsi="Times New Roman" w:cs="Times New Roman"/>
          <w:sz w:val="24"/>
          <w:szCs w:val="24"/>
          <w:lang w:eastAsia="lv-LV"/>
        </w:rPr>
        <w:t>95</w:t>
      </w:r>
      <w:r w:rsidRPr="00144109">
        <w:rPr>
          <w:rFonts w:ascii="Times New Roman" w:eastAsia="Times New Roman" w:hAnsi="Times New Roman" w:cs="Times New Roman"/>
          <w:sz w:val="24"/>
          <w:szCs w:val="24"/>
          <w:lang w:eastAsia="lv-LV"/>
        </w:rPr>
        <w:t>;</w:t>
      </w:r>
    </w:p>
    <w:p w14:paraId="13C9F9CC" w14:textId="7BDE26C5"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144109">
        <w:rPr>
          <w:rFonts w:ascii="Times New Roman" w:eastAsia="Times New Roman" w:hAnsi="Times New Roman" w:cs="Times New Roman"/>
          <w:sz w:val="24"/>
          <w:szCs w:val="24"/>
          <w:lang w:eastAsia="lv-LV"/>
        </w:rPr>
        <w:t>Neatvērt līdz 20</w:t>
      </w:r>
      <w:r w:rsidR="00EB072B" w:rsidRPr="00144109">
        <w:rPr>
          <w:rFonts w:ascii="Times New Roman" w:eastAsia="Times New Roman" w:hAnsi="Times New Roman" w:cs="Times New Roman"/>
          <w:sz w:val="24"/>
          <w:szCs w:val="24"/>
          <w:lang w:eastAsia="lv-LV"/>
        </w:rPr>
        <w:t>20</w:t>
      </w:r>
      <w:r w:rsidRPr="00144109">
        <w:rPr>
          <w:rFonts w:ascii="Times New Roman" w:eastAsia="Times New Roman" w:hAnsi="Times New Roman" w:cs="Times New Roman"/>
          <w:sz w:val="24"/>
          <w:szCs w:val="24"/>
          <w:lang w:eastAsia="lv-LV"/>
        </w:rPr>
        <w:t xml:space="preserve">.gada </w:t>
      </w:r>
      <w:r w:rsidR="00144109" w:rsidRPr="00144109">
        <w:rPr>
          <w:rFonts w:ascii="Times New Roman" w:eastAsia="Times New Roman" w:hAnsi="Times New Roman" w:cs="Times New Roman"/>
          <w:sz w:val="24"/>
          <w:szCs w:val="24"/>
          <w:lang w:eastAsia="lv-LV"/>
        </w:rPr>
        <w:t xml:space="preserve"> </w:t>
      </w:r>
      <w:r w:rsidR="00FF78D0">
        <w:rPr>
          <w:rFonts w:ascii="Times New Roman" w:eastAsia="Times New Roman" w:hAnsi="Times New Roman" w:cs="Times New Roman"/>
          <w:sz w:val="24"/>
          <w:szCs w:val="24"/>
          <w:lang w:eastAsia="lv-LV"/>
        </w:rPr>
        <w:t>30</w:t>
      </w:r>
      <w:r w:rsidR="00144109" w:rsidRPr="00144109">
        <w:rPr>
          <w:rFonts w:ascii="Times New Roman" w:eastAsia="Times New Roman" w:hAnsi="Times New Roman" w:cs="Times New Roman"/>
          <w:sz w:val="24"/>
          <w:szCs w:val="24"/>
          <w:lang w:eastAsia="lv-LV"/>
        </w:rPr>
        <w:t>.septembrim</w:t>
      </w:r>
      <w:r w:rsidR="00144109" w:rsidRPr="00144109">
        <w:rPr>
          <w:rFonts w:ascii="Times New Roman" w:eastAsia="Times New Roman" w:hAnsi="Times New Roman" w:cs="Times New Roman"/>
          <w:sz w:val="24"/>
          <w:szCs w:val="24"/>
        </w:rPr>
        <w:t xml:space="preserve"> plkst. 1</w:t>
      </w:r>
      <w:r w:rsidR="00FF78D0">
        <w:rPr>
          <w:rFonts w:ascii="Times New Roman" w:eastAsia="Times New Roman" w:hAnsi="Times New Roman" w:cs="Times New Roman"/>
          <w:sz w:val="24"/>
          <w:szCs w:val="24"/>
        </w:rPr>
        <w:t>1</w:t>
      </w:r>
      <w:r w:rsidR="00144109" w:rsidRPr="00144109">
        <w:rPr>
          <w:rFonts w:ascii="Times New Roman" w:eastAsia="Times New Roman" w:hAnsi="Times New Roman" w:cs="Times New Roman"/>
          <w:sz w:val="24"/>
          <w:szCs w:val="24"/>
          <w:vertAlign w:val="superscript"/>
        </w:rPr>
        <w:t>00</w:t>
      </w:r>
      <w:r w:rsidR="00144109" w:rsidRPr="00144109">
        <w:rPr>
          <w:rFonts w:ascii="Times New Roman" w:eastAsia="Times New Roman" w:hAnsi="Times New Roman" w:cs="Times New Roman"/>
          <w:sz w:val="24"/>
          <w:szCs w:val="24"/>
        </w:rPr>
        <w:t>,</w:t>
      </w:r>
      <w:r w:rsidR="00144109" w:rsidRPr="00144109">
        <w:rPr>
          <w:rFonts w:ascii="Times New Roman" w:eastAsia="Times New Roman" w:hAnsi="Times New Roman" w:cs="Times New Roman"/>
          <w:sz w:val="24"/>
          <w:szCs w:val="24"/>
          <w:lang w:eastAsia="lv-LV"/>
        </w:rPr>
        <w:t>;</w:t>
      </w:r>
    </w:p>
    <w:p w14:paraId="4680B231" w14:textId="77777777"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Iesniedzēja nosaukums, reģistrācijas Nr., kontaktpersona, tālrunis, e-pasts.”</w:t>
      </w:r>
    </w:p>
    <w:p w14:paraId="5240ECA6" w14:textId="77777777"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1FC376E5" w14:textId="63F78C63"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AD18FED" w14:textId="77777777" w:rsidR="001E6CE4" w:rsidRDefault="001E6CE4" w:rsidP="001E6CE4">
      <w:pPr>
        <w:tabs>
          <w:tab w:val="left" w:pos="993"/>
        </w:tabs>
        <w:spacing w:after="0" w:line="240" w:lineRule="auto"/>
        <w:ind w:left="720"/>
        <w:jc w:val="both"/>
        <w:rPr>
          <w:rFonts w:ascii="Times New Roman" w:hAnsi="Times New Roman" w:cs="Times New Roman"/>
          <w:sz w:val="24"/>
          <w:szCs w:val="24"/>
        </w:rPr>
      </w:pPr>
    </w:p>
    <w:p w14:paraId="66C59459"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44D90F98"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56381E52"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41F02367"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48B0AAC"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552543AC"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lastRenderedPageBreak/>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11A1F980"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0DED5914"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657F02DE"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549DFE1A" w14:textId="77777777" w:rsidR="00722314" w:rsidRPr="001E6CE4"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Ja pieņemts lēmums iepirkuma līguma slēgšanas tiesības piešķirt nākamajam pretendentam, kurš piedāvājis saimnieciski visizdevīgāko piedāvājumu, bet tas atsakās slēgt iepirkuma līgumu, iepirkuma komisija pieņem lēmumu pārtraukt </w:t>
      </w:r>
      <w:r w:rsidRPr="001E6CE4">
        <w:rPr>
          <w:rFonts w:ascii="Times New Roman" w:eastAsia="Times New Roman" w:hAnsi="Times New Roman" w:cs="Times New Roman"/>
          <w:sz w:val="24"/>
          <w:szCs w:val="24"/>
          <w:lang w:eastAsia="lv-LV"/>
        </w:rPr>
        <w:t>iepirkuma procedūru, neizvēloties nevienu piedāvājumu.</w:t>
      </w:r>
    </w:p>
    <w:p w14:paraId="4C2A0429" w14:textId="77777777" w:rsidR="001E3DE4" w:rsidRPr="001E6CE4"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3" w:name="_Toc380414341"/>
      <w:bookmarkStart w:id="4" w:name="_Toc380414536"/>
      <w:bookmarkStart w:id="5" w:name="_Toc380414803"/>
      <w:bookmarkStart w:id="6" w:name="_Toc380415513"/>
      <w:bookmarkStart w:id="7" w:name="_Toc380481843"/>
      <w:bookmarkStart w:id="8" w:name="_Toc381278374"/>
      <w:bookmarkStart w:id="9" w:name="_Toc381278995"/>
      <w:bookmarkStart w:id="10" w:name="_Toc381279196"/>
      <w:bookmarkStart w:id="11" w:name="_Toc403727430"/>
      <w:r w:rsidRPr="001E6CE4">
        <w:rPr>
          <w:rFonts w:ascii="Times New Roman" w:eastAsia="Times New Roman" w:hAnsi="Times New Roman" w:cs="Times New Roman"/>
          <w:sz w:val="24"/>
          <w:szCs w:val="24"/>
        </w:rPr>
        <w:t>Līgums jānoslēdz 5 (piecu) darba dienu laikā no Pasūtītāja rakstiska pieprasījuma saņemšanas</w:t>
      </w:r>
      <w:r w:rsidR="004B61D5" w:rsidRPr="001E6CE4">
        <w:rPr>
          <w:rFonts w:ascii="Times New Roman" w:eastAsia="Times New Roman" w:hAnsi="Times New Roman" w:cs="Times New Roman"/>
          <w:sz w:val="24"/>
          <w:szCs w:val="24"/>
        </w:rPr>
        <w:t xml:space="preserve">. </w:t>
      </w:r>
      <w:bookmarkEnd w:id="3"/>
      <w:bookmarkEnd w:id="4"/>
      <w:bookmarkEnd w:id="5"/>
      <w:bookmarkEnd w:id="6"/>
      <w:bookmarkEnd w:id="7"/>
      <w:bookmarkEnd w:id="8"/>
      <w:bookmarkEnd w:id="9"/>
      <w:bookmarkEnd w:id="10"/>
      <w:bookmarkEnd w:id="11"/>
    </w:p>
    <w:p w14:paraId="02EE7523"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Ja nodokļu parādi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r w:rsidRPr="00BB3577">
        <w:rPr>
          <w:rFonts w:ascii="Times New Roman" w:hAnsi="Times New Roman" w:cs="Times New Roman"/>
          <w:i/>
          <w:iCs/>
          <w:sz w:val="24"/>
          <w:szCs w:val="24"/>
        </w:rPr>
        <w:t xml:space="preserve">euro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111063D5"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3CD2AAFD" w14:textId="77777777"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78F676C3" w14:textId="77777777"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kuru/-us pretendents iesaistīs līguma izpildē, par kuru/-iem sniedzis informāciju Pasūtītājam un kura/-u kvalifikācijas a</w:t>
      </w:r>
      <w:r w:rsidRPr="00BB3577">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w:t>
      </w:r>
      <w:r w:rsidRPr="00BB3577">
        <w:rPr>
          <w:color w:val="auto"/>
        </w:rPr>
        <w:lastRenderedPageBreak/>
        <w:t xml:space="preserve">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2237024A"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335F96A4"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522EF89"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584C526E"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030322F3" w14:textId="77777777"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2A6087B7"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54433D3D" w14:textId="77777777" w:rsidR="00026B82" w:rsidRPr="00BE5E11"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2B3473">
        <w:rPr>
          <w:rFonts w:ascii="Times New Roman" w:eastAsia="Times New Roman" w:hAnsi="Times New Roman" w:cs="Times New Roman"/>
          <w:sz w:val="24"/>
          <w:szCs w:val="24"/>
        </w:rPr>
        <w:t>3</w:t>
      </w:r>
      <w:r w:rsidR="00BE5E11">
        <w:rPr>
          <w:rFonts w:ascii="Times New Roman" w:eastAsia="Times New Roman" w:hAnsi="Times New Roman" w:cs="Times New Roman"/>
          <w:sz w:val="24"/>
          <w:szCs w:val="24"/>
        </w:rPr>
        <w:t>.pielikums).</w:t>
      </w:r>
    </w:p>
    <w:p w14:paraId="42DAA24F" w14:textId="77777777"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footerReference w:type="even" r:id="rId11"/>
      <w:footerReference w:type="default" r:id="rId12"/>
      <w:footerReference w:type="first" r:id="rId13"/>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3B155" w14:textId="77777777" w:rsidR="00E76CC7" w:rsidRDefault="00E76CC7">
      <w:pPr>
        <w:spacing w:after="0" w:line="240" w:lineRule="auto"/>
      </w:pPr>
      <w:r>
        <w:separator/>
      </w:r>
    </w:p>
  </w:endnote>
  <w:endnote w:type="continuationSeparator" w:id="0">
    <w:p w14:paraId="4D095BFA" w14:textId="77777777" w:rsidR="00E76CC7" w:rsidRDefault="00E76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CCB4D"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5D60165F" w14:textId="77777777" w:rsidR="0071644D" w:rsidRDefault="00FF78D0"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982549"/>
      <w:docPartObj>
        <w:docPartGallery w:val="Page Numbers (Bottom of Page)"/>
        <w:docPartUnique/>
      </w:docPartObj>
    </w:sdtPr>
    <w:sdtEndPr>
      <w:rPr>
        <w:rFonts w:ascii="Times New Roman" w:hAnsi="Times New Roman" w:cs="Times New Roman"/>
        <w:noProof/>
      </w:rPr>
    </w:sdtEndPr>
    <w:sdtContent>
      <w:p w14:paraId="278AC85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246186">
          <w:rPr>
            <w:rFonts w:ascii="Times New Roman" w:hAnsi="Times New Roman" w:cs="Times New Roman"/>
            <w:noProof/>
          </w:rPr>
          <w:t>6</w:t>
        </w:r>
        <w:r w:rsidRPr="00D54D0E">
          <w:rPr>
            <w:rFonts w:ascii="Times New Roman" w:hAnsi="Times New Roman" w:cs="Times New Roman"/>
            <w:noProof/>
          </w:rPr>
          <w:fldChar w:fldCharType="end"/>
        </w:r>
      </w:p>
    </w:sdtContent>
  </w:sdt>
  <w:p w14:paraId="12346802" w14:textId="77777777" w:rsidR="0071644D" w:rsidRPr="002F1C04" w:rsidRDefault="00FF78D0"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6066"/>
      <w:docPartObj>
        <w:docPartGallery w:val="Page Numbers (Bottom of Page)"/>
        <w:docPartUnique/>
      </w:docPartObj>
    </w:sdtPr>
    <w:sdtEndPr>
      <w:rPr>
        <w:rFonts w:ascii="Times New Roman" w:hAnsi="Times New Roman" w:cs="Times New Roman"/>
        <w:noProof/>
      </w:rPr>
    </w:sdtEndPr>
    <w:sdtContent>
      <w:p w14:paraId="6FFD8D18"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246186">
          <w:rPr>
            <w:rFonts w:ascii="Times New Roman" w:hAnsi="Times New Roman" w:cs="Times New Roman"/>
            <w:noProof/>
          </w:rPr>
          <w:t>13</w:t>
        </w:r>
        <w:r w:rsidRPr="001E7996">
          <w:rPr>
            <w:rFonts w:ascii="Times New Roman" w:hAnsi="Times New Roman" w:cs="Times New Roman"/>
            <w:noProof/>
          </w:rPr>
          <w:fldChar w:fldCharType="end"/>
        </w:r>
      </w:p>
    </w:sdtContent>
  </w:sdt>
  <w:p w14:paraId="6D1AD4EA" w14:textId="77777777" w:rsidR="0071644D" w:rsidRDefault="00FF7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BB58A" w14:textId="77777777" w:rsidR="00E76CC7" w:rsidRDefault="00E76CC7">
      <w:pPr>
        <w:spacing w:after="0" w:line="240" w:lineRule="auto"/>
      </w:pPr>
      <w:r>
        <w:separator/>
      </w:r>
    </w:p>
  </w:footnote>
  <w:footnote w:type="continuationSeparator" w:id="0">
    <w:p w14:paraId="17010AF7" w14:textId="77777777" w:rsidR="00E76CC7" w:rsidRDefault="00E76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7"/>
  </w:num>
  <w:num w:numId="3">
    <w:abstractNumId w:val="7"/>
  </w:num>
  <w:num w:numId="4">
    <w:abstractNumId w:val="26"/>
  </w:num>
  <w:num w:numId="5">
    <w:abstractNumId w:val="27"/>
  </w:num>
  <w:num w:numId="6">
    <w:abstractNumId w:val="6"/>
  </w:num>
  <w:num w:numId="7">
    <w:abstractNumId w:val="2"/>
  </w:num>
  <w:num w:numId="8">
    <w:abstractNumId w:val="19"/>
  </w:num>
  <w:num w:numId="9">
    <w:abstractNumId w:val="23"/>
  </w:num>
  <w:num w:numId="10">
    <w:abstractNumId w:val="18"/>
  </w:num>
  <w:num w:numId="11">
    <w:abstractNumId w:val="9"/>
  </w:num>
  <w:num w:numId="12">
    <w:abstractNumId w:val="20"/>
  </w:num>
  <w:num w:numId="13">
    <w:abstractNumId w:val="4"/>
  </w:num>
  <w:num w:numId="14">
    <w:abstractNumId w:val="21"/>
  </w:num>
  <w:num w:numId="15">
    <w:abstractNumId w:val="25"/>
  </w:num>
  <w:num w:numId="16">
    <w:abstractNumId w:val="14"/>
  </w:num>
  <w:num w:numId="17">
    <w:abstractNumId w:val="8"/>
  </w:num>
  <w:num w:numId="18">
    <w:abstractNumId w:val="16"/>
  </w:num>
  <w:num w:numId="19">
    <w:abstractNumId w:val="3"/>
  </w:num>
  <w:num w:numId="20">
    <w:abstractNumId w:val="22"/>
  </w:num>
  <w:num w:numId="21">
    <w:abstractNumId w:val="5"/>
  </w:num>
  <w:num w:numId="22">
    <w:abstractNumId w:val="11"/>
  </w:num>
  <w:num w:numId="23">
    <w:abstractNumId w:val="24"/>
  </w:num>
  <w:num w:numId="24">
    <w:abstractNumId w:val="1"/>
  </w:num>
  <w:num w:numId="25">
    <w:abstractNumId w:val="15"/>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3"/>
  </w:num>
  <w:num w:numId="29">
    <w:abstractNumId w:val="1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126FA"/>
    <w:rsid w:val="000165DD"/>
    <w:rsid w:val="00022B1E"/>
    <w:rsid w:val="0002681A"/>
    <w:rsid w:val="00026B82"/>
    <w:rsid w:val="00036FBE"/>
    <w:rsid w:val="00043696"/>
    <w:rsid w:val="000456EE"/>
    <w:rsid w:val="00055846"/>
    <w:rsid w:val="000612E3"/>
    <w:rsid w:val="0006438B"/>
    <w:rsid w:val="00075E62"/>
    <w:rsid w:val="0009125E"/>
    <w:rsid w:val="0009170E"/>
    <w:rsid w:val="00096287"/>
    <w:rsid w:val="000A2D34"/>
    <w:rsid w:val="000B0447"/>
    <w:rsid w:val="000B44E3"/>
    <w:rsid w:val="000C54C7"/>
    <w:rsid w:val="000D0503"/>
    <w:rsid w:val="000D248C"/>
    <w:rsid w:val="000F0C11"/>
    <w:rsid w:val="000F0D0F"/>
    <w:rsid w:val="000F30DF"/>
    <w:rsid w:val="000F537D"/>
    <w:rsid w:val="000F57CB"/>
    <w:rsid w:val="0010494B"/>
    <w:rsid w:val="001061FE"/>
    <w:rsid w:val="00106955"/>
    <w:rsid w:val="001128C2"/>
    <w:rsid w:val="00114A1D"/>
    <w:rsid w:val="00123EB5"/>
    <w:rsid w:val="00140FF4"/>
    <w:rsid w:val="00144109"/>
    <w:rsid w:val="0014768A"/>
    <w:rsid w:val="00152687"/>
    <w:rsid w:val="001639D0"/>
    <w:rsid w:val="00170A20"/>
    <w:rsid w:val="001902DE"/>
    <w:rsid w:val="001A09F0"/>
    <w:rsid w:val="001A3E0D"/>
    <w:rsid w:val="001A4C2B"/>
    <w:rsid w:val="001B41D8"/>
    <w:rsid w:val="001B4F4D"/>
    <w:rsid w:val="001D2183"/>
    <w:rsid w:val="001E3DE4"/>
    <w:rsid w:val="001E3E6A"/>
    <w:rsid w:val="001E59D4"/>
    <w:rsid w:val="001E6397"/>
    <w:rsid w:val="001E6CE4"/>
    <w:rsid w:val="001E7693"/>
    <w:rsid w:val="001E7996"/>
    <w:rsid w:val="001F0BD4"/>
    <w:rsid w:val="00200D01"/>
    <w:rsid w:val="00201467"/>
    <w:rsid w:val="00202AD0"/>
    <w:rsid w:val="00210051"/>
    <w:rsid w:val="00212EA9"/>
    <w:rsid w:val="00221C9A"/>
    <w:rsid w:val="002237A5"/>
    <w:rsid w:val="00231CE1"/>
    <w:rsid w:val="00232355"/>
    <w:rsid w:val="00246186"/>
    <w:rsid w:val="0024750F"/>
    <w:rsid w:val="002504A1"/>
    <w:rsid w:val="00285180"/>
    <w:rsid w:val="0028534A"/>
    <w:rsid w:val="00287AEB"/>
    <w:rsid w:val="00294BAB"/>
    <w:rsid w:val="002B208F"/>
    <w:rsid w:val="002B3473"/>
    <w:rsid w:val="002C4336"/>
    <w:rsid w:val="002D464C"/>
    <w:rsid w:val="002E2C73"/>
    <w:rsid w:val="002E3F5C"/>
    <w:rsid w:val="002E7440"/>
    <w:rsid w:val="002E749B"/>
    <w:rsid w:val="002E7F4C"/>
    <w:rsid w:val="002F573D"/>
    <w:rsid w:val="00300303"/>
    <w:rsid w:val="003022D0"/>
    <w:rsid w:val="00306AA2"/>
    <w:rsid w:val="003339BF"/>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E0625"/>
    <w:rsid w:val="003F4F6B"/>
    <w:rsid w:val="0041165D"/>
    <w:rsid w:val="00421E94"/>
    <w:rsid w:val="0042304B"/>
    <w:rsid w:val="00425F30"/>
    <w:rsid w:val="00433672"/>
    <w:rsid w:val="00441915"/>
    <w:rsid w:val="00454020"/>
    <w:rsid w:val="00457E44"/>
    <w:rsid w:val="004677CD"/>
    <w:rsid w:val="00473CA8"/>
    <w:rsid w:val="00480B7D"/>
    <w:rsid w:val="00487660"/>
    <w:rsid w:val="00492B43"/>
    <w:rsid w:val="0049639C"/>
    <w:rsid w:val="004B4BEF"/>
    <w:rsid w:val="004B61D5"/>
    <w:rsid w:val="004C304F"/>
    <w:rsid w:val="004C3F7E"/>
    <w:rsid w:val="004D06B5"/>
    <w:rsid w:val="004E0299"/>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9368F"/>
    <w:rsid w:val="005A4140"/>
    <w:rsid w:val="005B3CFA"/>
    <w:rsid w:val="005B4BE8"/>
    <w:rsid w:val="005B63CF"/>
    <w:rsid w:val="005C2001"/>
    <w:rsid w:val="005C2429"/>
    <w:rsid w:val="005C5220"/>
    <w:rsid w:val="005D6B12"/>
    <w:rsid w:val="005D7E5C"/>
    <w:rsid w:val="005F49C7"/>
    <w:rsid w:val="00602A04"/>
    <w:rsid w:val="00606A2C"/>
    <w:rsid w:val="00612C15"/>
    <w:rsid w:val="00625A5C"/>
    <w:rsid w:val="00655A17"/>
    <w:rsid w:val="00660D47"/>
    <w:rsid w:val="006625A6"/>
    <w:rsid w:val="0067056D"/>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5A73"/>
    <w:rsid w:val="007005CB"/>
    <w:rsid w:val="00700D63"/>
    <w:rsid w:val="0070175E"/>
    <w:rsid w:val="007147BA"/>
    <w:rsid w:val="00716F5D"/>
    <w:rsid w:val="00722314"/>
    <w:rsid w:val="0072449F"/>
    <w:rsid w:val="00731092"/>
    <w:rsid w:val="00731B95"/>
    <w:rsid w:val="00737258"/>
    <w:rsid w:val="007379BF"/>
    <w:rsid w:val="00742D80"/>
    <w:rsid w:val="00743931"/>
    <w:rsid w:val="00744B72"/>
    <w:rsid w:val="00752CA0"/>
    <w:rsid w:val="00761B56"/>
    <w:rsid w:val="00774428"/>
    <w:rsid w:val="00781782"/>
    <w:rsid w:val="00784044"/>
    <w:rsid w:val="00785017"/>
    <w:rsid w:val="00792076"/>
    <w:rsid w:val="007A121B"/>
    <w:rsid w:val="007A27C0"/>
    <w:rsid w:val="007A6C5F"/>
    <w:rsid w:val="007B111C"/>
    <w:rsid w:val="007C3E88"/>
    <w:rsid w:val="007D0B5D"/>
    <w:rsid w:val="007D4F8D"/>
    <w:rsid w:val="007D6B4A"/>
    <w:rsid w:val="00807010"/>
    <w:rsid w:val="0081169F"/>
    <w:rsid w:val="008416D5"/>
    <w:rsid w:val="00845D41"/>
    <w:rsid w:val="008509C0"/>
    <w:rsid w:val="00850B30"/>
    <w:rsid w:val="008568B5"/>
    <w:rsid w:val="00863B66"/>
    <w:rsid w:val="00863D3E"/>
    <w:rsid w:val="008649EA"/>
    <w:rsid w:val="00866B8D"/>
    <w:rsid w:val="008715AE"/>
    <w:rsid w:val="008776E7"/>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1C95"/>
    <w:rsid w:val="00906F18"/>
    <w:rsid w:val="009149E5"/>
    <w:rsid w:val="00916BE7"/>
    <w:rsid w:val="00921BDD"/>
    <w:rsid w:val="00933CE9"/>
    <w:rsid w:val="00941A60"/>
    <w:rsid w:val="00943A82"/>
    <w:rsid w:val="009454C4"/>
    <w:rsid w:val="00951D4A"/>
    <w:rsid w:val="00952EE8"/>
    <w:rsid w:val="009546E1"/>
    <w:rsid w:val="0096179F"/>
    <w:rsid w:val="00963ABD"/>
    <w:rsid w:val="00983E66"/>
    <w:rsid w:val="009933BA"/>
    <w:rsid w:val="0099398B"/>
    <w:rsid w:val="00993C64"/>
    <w:rsid w:val="00997CF2"/>
    <w:rsid w:val="009A2DA4"/>
    <w:rsid w:val="009B3AE5"/>
    <w:rsid w:val="009C0337"/>
    <w:rsid w:val="009D337C"/>
    <w:rsid w:val="009F281E"/>
    <w:rsid w:val="00A0491A"/>
    <w:rsid w:val="00A06FF2"/>
    <w:rsid w:val="00A139DC"/>
    <w:rsid w:val="00A20892"/>
    <w:rsid w:val="00A2146A"/>
    <w:rsid w:val="00A21E15"/>
    <w:rsid w:val="00A25F0C"/>
    <w:rsid w:val="00A31F8F"/>
    <w:rsid w:val="00A33655"/>
    <w:rsid w:val="00A3375E"/>
    <w:rsid w:val="00A451BB"/>
    <w:rsid w:val="00A47C5E"/>
    <w:rsid w:val="00A638F6"/>
    <w:rsid w:val="00A76FBF"/>
    <w:rsid w:val="00A825D8"/>
    <w:rsid w:val="00A92399"/>
    <w:rsid w:val="00A924AD"/>
    <w:rsid w:val="00A93EB6"/>
    <w:rsid w:val="00AA230C"/>
    <w:rsid w:val="00AA67C3"/>
    <w:rsid w:val="00AB157C"/>
    <w:rsid w:val="00AB755F"/>
    <w:rsid w:val="00AC06C3"/>
    <w:rsid w:val="00AC4B7B"/>
    <w:rsid w:val="00AC68F4"/>
    <w:rsid w:val="00AD35AD"/>
    <w:rsid w:val="00AE06E6"/>
    <w:rsid w:val="00AE255E"/>
    <w:rsid w:val="00AF07FE"/>
    <w:rsid w:val="00AF399B"/>
    <w:rsid w:val="00AF3B51"/>
    <w:rsid w:val="00B0200B"/>
    <w:rsid w:val="00B03848"/>
    <w:rsid w:val="00B064A6"/>
    <w:rsid w:val="00B13914"/>
    <w:rsid w:val="00B14E7D"/>
    <w:rsid w:val="00B15A97"/>
    <w:rsid w:val="00B23F9A"/>
    <w:rsid w:val="00B423DE"/>
    <w:rsid w:val="00B45960"/>
    <w:rsid w:val="00B46E18"/>
    <w:rsid w:val="00B50CA8"/>
    <w:rsid w:val="00B5103E"/>
    <w:rsid w:val="00B5789D"/>
    <w:rsid w:val="00B6416B"/>
    <w:rsid w:val="00B712F3"/>
    <w:rsid w:val="00B72FD9"/>
    <w:rsid w:val="00B74C20"/>
    <w:rsid w:val="00B75933"/>
    <w:rsid w:val="00B8038B"/>
    <w:rsid w:val="00B9289C"/>
    <w:rsid w:val="00BA0AB9"/>
    <w:rsid w:val="00BA257E"/>
    <w:rsid w:val="00BB3577"/>
    <w:rsid w:val="00BB4DBF"/>
    <w:rsid w:val="00BC105E"/>
    <w:rsid w:val="00BC1161"/>
    <w:rsid w:val="00BD3B3F"/>
    <w:rsid w:val="00BE1274"/>
    <w:rsid w:val="00BE5E11"/>
    <w:rsid w:val="00BF2F78"/>
    <w:rsid w:val="00BF4201"/>
    <w:rsid w:val="00C04711"/>
    <w:rsid w:val="00C164CC"/>
    <w:rsid w:val="00C64D92"/>
    <w:rsid w:val="00C7264E"/>
    <w:rsid w:val="00C73776"/>
    <w:rsid w:val="00C86CB6"/>
    <w:rsid w:val="00C9294A"/>
    <w:rsid w:val="00CB27EB"/>
    <w:rsid w:val="00CB2A26"/>
    <w:rsid w:val="00CB6116"/>
    <w:rsid w:val="00CC0825"/>
    <w:rsid w:val="00CC5108"/>
    <w:rsid w:val="00CC7AFE"/>
    <w:rsid w:val="00CE00CC"/>
    <w:rsid w:val="00CF49B2"/>
    <w:rsid w:val="00CF55AE"/>
    <w:rsid w:val="00D02177"/>
    <w:rsid w:val="00D02282"/>
    <w:rsid w:val="00D044DE"/>
    <w:rsid w:val="00D1664B"/>
    <w:rsid w:val="00D31414"/>
    <w:rsid w:val="00D33886"/>
    <w:rsid w:val="00D348E8"/>
    <w:rsid w:val="00D434C5"/>
    <w:rsid w:val="00D4471B"/>
    <w:rsid w:val="00D46A9D"/>
    <w:rsid w:val="00D51B43"/>
    <w:rsid w:val="00D54D0E"/>
    <w:rsid w:val="00D620D7"/>
    <w:rsid w:val="00D64CD9"/>
    <w:rsid w:val="00D737AE"/>
    <w:rsid w:val="00D750AF"/>
    <w:rsid w:val="00D87031"/>
    <w:rsid w:val="00D911B7"/>
    <w:rsid w:val="00D93202"/>
    <w:rsid w:val="00DA79FC"/>
    <w:rsid w:val="00DB0A8C"/>
    <w:rsid w:val="00DB61C4"/>
    <w:rsid w:val="00DC1977"/>
    <w:rsid w:val="00DC5988"/>
    <w:rsid w:val="00E00B1B"/>
    <w:rsid w:val="00E016D0"/>
    <w:rsid w:val="00E05F3D"/>
    <w:rsid w:val="00E0756C"/>
    <w:rsid w:val="00E137B5"/>
    <w:rsid w:val="00E2056F"/>
    <w:rsid w:val="00E247FE"/>
    <w:rsid w:val="00E558E8"/>
    <w:rsid w:val="00E575B6"/>
    <w:rsid w:val="00E6280C"/>
    <w:rsid w:val="00E723FE"/>
    <w:rsid w:val="00E76CC7"/>
    <w:rsid w:val="00E83667"/>
    <w:rsid w:val="00E84D11"/>
    <w:rsid w:val="00EA1E3A"/>
    <w:rsid w:val="00EA5F35"/>
    <w:rsid w:val="00EA6209"/>
    <w:rsid w:val="00EB072B"/>
    <w:rsid w:val="00EB33C1"/>
    <w:rsid w:val="00EB6BF0"/>
    <w:rsid w:val="00EE1B35"/>
    <w:rsid w:val="00EE7EF0"/>
    <w:rsid w:val="00F013C1"/>
    <w:rsid w:val="00F03021"/>
    <w:rsid w:val="00F11A46"/>
    <w:rsid w:val="00F454AF"/>
    <w:rsid w:val="00F47237"/>
    <w:rsid w:val="00F54EAA"/>
    <w:rsid w:val="00F577AE"/>
    <w:rsid w:val="00F62064"/>
    <w:rsid w:val="00F6232F"/>
    <w:rsid w:val="00F73628"/>
    <w:rsid w:val="00F84C79"/>
    <w:rsid w:val="00F85BFA"/>
    <w:rsid w:val="00F86224"/>
    <w:rsid w:val="00F90A63"/>
    <w:rsid w:val="00F91584"/>
    <w:rsid w:val="00F91985"/>
    <w:rsid w:val="00F96284"/>
    <w:rsid w:val="00FA2D23"/>
    <w:rsid w:val="00FA7B55"/>
    <w:rsid w:val="00FB1A3D"/>
    <w:rsid w:val="00FB567D"/>
    <w:rsid w:val="00FC0342"/>
    <w:rsid w:val="00FC23EB"/>
    <w:rsid w:val="00FC300A"/>
    <w:rsid w:val="00FC4568"/>
    <w:rsid w:val="00FC74F5"/>
    <w:rsid w:val="00FC7F77"/>
    <w:rsid w:val="00FD07E0"/>
    <w:rsid w:val="00FD364B"/>
    <w:rsid w:val="00FD3CD0"/>
    <w:rsid w:val="00FF6A1B"/>
    <w:rsid w:val="00FF6B32"/>
    <w:rsid w:val="00FF78D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E40539"/>
  <w15:docId w15:val="{67A42360-DCEE-42D4-B0CA-3003B510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pd.eis.gov.lv/" TargetMode="External"/><Relationship Id="rId4" Type="http://schemas.openxmlformats.org/officeDocument/2006/relationships/settings" Target="settings.xml"/><Relationship Id="rId9" Type="http://schemas.openxmlformats.org/officeDocument/2006/relationships/hyperlink" Target="mailto:uldis.mucenieks@vbp.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636E4-4A9F-447B-A69E-49DA76A2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11760</Words>
  <Characters>6704</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Daiga Mažrima</cp:lastModifiedBy>
  <cp:revision>9</cp:revision>
  <cp:lastPrinted>2018-04-10T12:23:00Z</cp:lastPrinted>
  <dcterms:created xsi:type="dcterms:W3CDTF">2020-08-24T10:58:00Z</dcterms:created>
  <dcterms:modified xsi:type="dcterms:W3CDTF">2020-09-23T08:07:00Z</dcterms:modified>
</cp:coreProperties>
</file>