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B8" w:rsidRPr="000B68D4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 w:val="28"/>
          <w:szCs w:val="28"/>
          <w:lang w:eastAsia="lv-LV"/>
        </w:rPr>
      </w:pPr>
      <w:r w:rsidRPr="000B68D4">
        <w:rPr>
          <w:noProof/>
          <w:sz w:val="20"/>
          <w:lang w:val="en-US"/>
        </w:rPr>
        <w:drawing>
          <wp:inline distT="0" distB="0" distL="0" distR="0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AB8" w:rsidRPr="000B68D4" w:rsidRDefault="00B37AB8" w:rsidP="00B37AB8">
      <w:pPr>
        <w:pStyle w:val="BlockText"/>
        <w:tabs>
          <w:tab w:val="left" w:pos="0"/>
        </w:tabs>
        <w:ind w:left="0" w:right="-97"/>
        <w:rPr>
          <w:sz w:val="20"/>
        </w:rPr>
      </w:pPr>
      <w:r w:rsidRPr="000B68D4">
        <w:rPr>
          <w:sz w:val="20"/>
        </w:rPr>
        <w:t xml:space="preserve">    </w:t>
      </w:r>
    </w:p>
    <w:p w:rsidR="00B37AB8" w:rsidRPr="000B68D4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0B68D4">
        <w:rPr>
          <w:sz w:val="20"/>
        </w:rPr>
        <w:t xml:space="preserve"> </w:t>
      </w:r>
    </w:p>
    <w:p w:rsidR="00B37AB8" w:rsidRPr="000B68D4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0B68D4">
        <w:rPr>
          <w:sz w:val="20"/>
        </w:rPr>
        <w:t xml:space="preserve"> APSTIPRINĀTS</w:t>
      </w:r>
    </w:p>
    <w:p w:rsidR="00B37AB8" w:rsidRPr="000B68D4" w:rsidRDefault="00B37AB8" w:rsidP="00B37AB8">
      <w:pPr>
        <w:pStyle w:val="BlockText"/>
        <w:ind w:left="0" w:right="-57"/>
        <w:jc w:val="right"/>
        <w:rPr>
          <w:sz w:val="20"/>
        </w:rPr>
      </w:pPr>
      <w:r w:rsidRPr="000B68D4">
        <w:rPr>
          <w:sz w:val="20"/>
        </w:rPr>
        <w:t>Ventspils brīvostas pārvaldes</w:t>
      </w:r>
    </w:p>
    <w:p w:rsidR="00B37AB8" w:rsidRPr="000B68D4" w:rsidRDefault="00B37AB8" w:rsidP="00B37AB8">
      <w:pPr>
        <w:pStyle w:val="BlockText"/>
        <w:ind w:left="0" w:right="-57"/>
        <w:jc w:val="right"/>
        <w:rPr>
          <w:sz w:val="20"/>
        </w:rPr>
      </w:pPr>
      <w:r w:rsidRPr="000B68D4">
        <w:rPr>
          <w:sz w:val="20"/>
        </w:rPr>
        <w:t xml:space="preserve">2020.gada </w:t>
      </w:r>
      <w:r w:rsidR="00A866D3">
        <w:rPr>
          <w:sz w:val="20"/>
        </w:rPr>
        <w:t>28.oktobra</w:t>
      </w:r>
      <w:bookmarkStart w:id="0" w:name="_GoBack"/>
      <w:bookmarkEnd w:id="0"/>
    </w:p>
    <w:p w:rsidR="00B37AB8" w:rsidRPr="000B68D4" w:rsidRDefault="00B37AB8" w:rsidP="00B37AB8">
      <w:pPr>
        <w:pStyle w:val="BlockText"/>
        <w:ind w:left="0" w:right="-57"/>
        <w:jc w:val="right"/>
        <w:rPr>
          <w:sz w:val="20"/>
        </w:rPr>
      </w:pPr>
      <w:r w:rsidRPr="000B68D4">
        <w:rPr>
          <w:sz w:val="20"/>
        </w:rPr>
        <w:t>Iepirkumu komisijas sēdē</w:t>
      </w:r>
    </w:p>
    <w:p w:rsidR="00B37AB8" w:rsidRPr="000B68D4" w:rsidRDefault="00B37AB8" w:rsidP="00B37AB8"/>
    <w:p w:rsidR="00B37AB8" w:rsidRPr="000B68D4" w:rsidRDefault="00B37AB8" w:rsidP="00B37AB8"/>
    <w:p w:rsidR="00B37AB8" w:rsidRPr="000B68D4" w:rsidRDefault="00B37AB8" w:rsidP="00B37AB8"/>
    <w:p w:rsidR="00B37AB8" w:rsidRPr="000B68D4" w:rsidRDefault="00B37AB8" w:rsidP="00B37AB8"/>
    <w:p w:rsidR="00B37AB8" w:rsidRPr="00B37AB8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37AB8">
        <w:rPr>
          <w:rFonts w:ascii="Times New Roman" w:hAnsi="Times New Roman" w:cs="Times New Roman"/>
          <w:b/>
          <w:color w:val="000000"/>
          <w:sz w:val="36"/>
          <w:szCs w:val="36"/>
        </w:rPr>
        <w:t>ATKLĀTA KONKURSA</w:t>
      </w:r>
    </w:p>
    <w:p w:rsidR="00B37AB8" w:rsidRDefault="00B37AB8" w:rsidP="00B37AB8">
      <w:pPr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AB8" w:rsidRPr="00B37AB8" w:rsidRDefault="00B37AB8" w:rsidP="00B37AB8">
      <w:pPr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AB8" w:rsidRPr="00B37AB8" w:rsidRDefault="00B37AB8" w:rsidP="00B37AB8">
      <w:pPr>
        <w:pStyle w:val="BlockText"/>
        <w:ind w:left="0"/>
        <w:jc w:val="center"/>
        <w:rPr>
          <w:b/>
          <w:sz w:val="36"/>
          <w:szCs w:val="36"/>
        </w:rPr>
      </w:pPr>
      <w:r w:rsidRPr="00B37AB8">
        <w:rPr>
          <w:b/>
          <w:sz w:val="36"/>
          <w:szCs w:val="36"/>
        </w:rPr>
        <w:t>“Būvprojekta izstrāde un autoruzraudzība objektam “</w:t>
      </w:r>
      <w:bookmarkStart w:id="1" w:name="_Hlk2606304"/>
      <w:r w:rsidRPr="00B37AB8">
        <w:rPr>
          <w:b/>
          <w:sz w:val="36"/>
          <w:szCs w:val="36"/>
        </w:rPr>
        <w:t>Ostas ielas pārbūve posmā no Jāņa ielas līdz Dārzu ielai, Ventspilī</w:t>
      </w:r>
      <w:bookmarkEnd w:id="1"/>
      <w:r w:rsidRPr="00B37AB8">
        <w:rPr>
          <w:b/>
          <w:sz w:val="36"/>
          <w:szCs w:val="36"/>
        </w:rPr>
        <w:t>””</w:t>
      </w:r>
    </w:p>
    <w:p w:rsidR="00B37AB8" w:rsidRPr="00B37AB8" w:rsidRDefault="00B37AB8" w:rsidP="00B37AB8">
      <w:pPr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AB8" w:rsidRPr="00B37AB8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spellStart"/>
      <w:proofErr w:type="gramStart"/>
      <w:r w:rsidRPr="00B37AB8">
        <w:rPr>
          <w:rFonts w:ascii="Times New Roman" w:hAnsi="Times New Roman" w:cs="Times New Roman"/>
          <w:b/>
          <w:color w:val="000000"/>
          <w:sz w:val="36"/>
          <w:szCs w:val="36"/>
        </w:rPr>
        <w:t>ar</w:t>
      </w:r>
      <w:proofErr w:type="spellEnd"/>
      <w:proofErr w:type="gramEnd"/>
      <w:r w:rsidRPr="00B37A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B37AB8">
        <w:rPr>
          <w:rFonts w:ascii="Times New Roman" w:hAnsi="Times New Roman" w:cs="Times New Roman"/>
          <w:b/>
          <w:color w:val="000000"/>
          <w:sz w:val="36"/>
          <w:szCs w:val="36"/>
        </w:rPr>
        <w:t>identifikācijas</w:t>
      </w:r>
      <w:proofErr w:type="spellEnd"/>
    </w:p>
    <w:p w:rsidR="00B37AB8" w:rsidRPr="00B37AB8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spellStart"/>
      <w:r w:rsidRPr="00B37AB8">
        <w:rPr>
          <w:rFonts w:ascii="Times New Roman" w:hAnsi="Times New Roman" w:cs="Times New Roman"/>
          <w:b/>
          <w:color w:val="000000"/>
          <w:sz w:val="36"/>
          <w:szCs w:val="36"/>
        </w:rPr>
        <w:t>Nr</w:t>
      </w:r>
      <w:proofErr w:type="spellEnd"/>
      <w:r w:rsidRPr="00B37AB8">
        <w:rPr>
          <w:rFonts w:ascii="Times New Roman" w:hAnsi="Times New Roman" w:cs="Times New Roman"/>
          <w:b/>
          <w:color w:val="000000"/>
          <w:sz w:val="36"/>
          <w:szCs w:val="36"/>
        </w:rPr>
        <w:t>. VBOP 2020/98KF</w:t>
      </w:r>
    </w:p>
    <w:p w:rsidR="00B37AB8" w:rsidRPr="00B37AB8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AB8" w:rsidRPr="00B37AB8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7AB8">
        <w:rPr>
          <w:rFonts w:ascii="Times New Roman" w:hAnsi="Times New Roman" w:cs="Times New Roman"/>
          <w:b/>
          <w:sz w:val="36"/>
          <w:szCs w:val="36"/>
        </w:rPr>
        <w:t>NOLIKUMA SKAIDROJUMI NR.1</w:t>
      </w:r>
    </w:p>
    <w:p w:rsidR="00B37AB8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7AB8" w:rsidRPr="00B37AB8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37AB8">
        <w:rPr>
          <w:rFonts w:ascii="Times New Roman" w:hAnsi="Times New Roman" w:cs="Times New Roman"/>
          <w:b/>
          <w:sz w:val="32"/>
          <w:szCs w:val="32"/>
        </w:rPr>
        <w:t>Ventspils</w:t>
      </w:r>
      <w:proofErr w:type="spellEnd"/>
    </w:p>
    <w:p w:rsidR="00B37AB8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B37AB8">
        <w:rPr>
          <w:rFonts w:ascii="Times New Roman" w:hAnsi="Times New Roman" w:cs="Times New Roman"/>
          <w:b/>
          <w:sz w:val="32"/>
          <w:szCs w:val="32"/>
        </w:rPr>
        <w:t>2020</w:t>
      </w:r>
      <w:proofErr w:type="gramStart"/>
      <w:r w:rsidRPr="00B37AB8">
        <w:rPr>
          <w:rFonts w:ascii="Times New Roman" w:hAnsi="Times New Roman" w:cs="Times New Roman"/>
          <w:b/>
          <w:sz w:val="32"/>
          <w:szCs w:val="32"/>
        </w:rPr>
        <w:t>.gads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:rsidR="00B37AB8" w:rsidRPr="00FB24D5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1.jautājums:</w:t>
      </w:r>
    </w:p>
    <w:p w:rsidR="00B37AB8" w:rsidRPr="00FB24D5" w:rsidRDefault="00B37AB8" w:rsidP="00B3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Vai Nolikuma punktos 7.5.1. un 7.7.1. minētās ceļu projektēšanas kvalifikācijas prasības (2000m2) var izpildīt ar objektu (</w:t>
      </w:r>
      <w:proofErr w:type="spellStart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autostāvlaukumu</w:t>
      </w:r>
      <w:proofErr w:type="spellEnd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vai </w:t>
      </w:r>
      <w:proofErr w:type="spellStart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iekškvartālu</w:t>
      </w:r>
      <w:proofErr w:type="spellEnd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), kas ietver betona bruģakmens segumu ar platību nepilnu 2000m2 platībā - piemēram 1850m2 ?</w:t>
      </w:r>
    </w:p>
    <w:p w:rsidR="00B37AB8" w:rsidRPr="00FB24D5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B37AB8" w:rsidRPr="00FB24D5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lv-LV" w:eastAsia="lv-LV"/>
        </w:rPr>
        <w:t>Atbilde:</w:t>
      </w:r>
    </w:p>
    <w:p w:rsidR="00B37AB8" w:rsidRPr="00FB24D5" w:rsidRDefault="00B37AB8" w:rsidP="00B3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Atbilstoši nolikuma punktu 7.5.1. un 7.7.1. nosacījumiem pieredze ir jāapstiprina ar būvobjektiem, kuros veikti projektēšanas darbi pilnas segas konstrukcijas bruģakmens seguma izbūvei – ceļi, ielas un laukumi, izņemot veloceliņi un ietves, vismaz 2000 m2 platībā. </w:t>
      </w:r>
    </w:p>
    <w:p w:rsidR="00B37AB8" w:rsidRPr="00FB24D5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 </w:t>
      </w:r>
    </w:p>
    <w:p w:rsidR="00B37AB8" w:rsidRPr="00FB24D5" w:rsidRDefault="00B37AB8" w:rsidP="00B37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 xml:space="preserve">2.jautājums: </w:t>
      </w:r>
    </w:p>
    <w:p w:rsidR="00B37AB8" w:rsidRPr="00FB24D5" w:rsidRDefault="00B37AB8" w:rsidP="00B3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Vai Nolikuma punktos 7.5.1. un 7.7.1. minētās ceļu projektēšanas kvalifikācijas prasības (2000m2) var izpildīt ar objektu (</w:t>
      </w:r>
      <w:proofErr w:type="spellStart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autostāvlaukumu</w:t>
      </w:r>
      <w:proofErr w:type="spellEnd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vai </w:t>
      </w:r>
      <w:proofErr w:type="spellStart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iekškvartālu</w:t>
      </w:r>
      <w:proofErr w:type="spellEnd"/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), kura kopējā betona bruģakmens segumu platība vismaz 2000m2 platībā bez brauktuvēm un laukumiem (kas sastāda lielāko daļu) ietver arī ietves ?</w:t>
      </w:r>
    </w:p>
    <w:p w:rsidR="00B37AB8" w:rsidRPr="00FB24D5" w:rsidRDefault="00B37AB8" w:rsidP="00B37A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B37AB8" w:rsidRPr="00FB24D5" w:rsidRDefault="00B37AB8" w:rsidP="00B37A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FB24D5">
        <w:rPr>
          <w:rFonts w:ascii="Times New Roman" w:hAnsi="Times New Roman" w:cs="Times New Roman"/>
          <w:b/>
          <w:i/>
          <w:sz w:val="24"/>
          <w:szCs w:val="24"/>
          <w:lang w:val="lv-LV"/>
        </w:rPr>
        <w:t>Atbilde:</w:t>
      </w:r>
    </w:p>
    <w:p w:rsidR="00B37AB8" w:rsidRPr="00FB24D5" w:rsidRDefault="00B37AB8" w:rsidP="00B37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FB24D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Atbilstoši nolikuma punktu 7.5.1. un 7.7.1. nosacījumiem pieredze ir jāapstiprina ar būvobjektiem, kuros izbūvēts ceļu, ielas un laukumu bruģakmens segums, izņemot veloceliņi un ietves, ar vismaz 2000 m2 platību. </w:t>
      </w:r>
    </w:p>
    <w:p w:rsidR="004540EF" w:rsidRDefault="004540EF"/>
    <w:sectPr w:rsidR="00454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4540EF"/>
    <w:rsid w:val="00A866D3"/>
    <w:rsid w:val="00B37AB8"/>
    <w:rsid w:val="00BA2986"/>
    <w:rsid w:val="00F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2020-10-28T17:36:00Z</dcterms:created>
  <dcterms:modified xsi:type="dcterms:W3CDTF">2020-10-28T19:48:00Z</dcterms:modified>
</cp:coreProperties>
</file>