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bookmarkStart w:id="1" w:name="_GoBack"/>
      <w:bookmarkEnd w:id="1"/>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2EC18087" w14:textId="77777777" w:rsidR="00C64BE0" w:rsidRPr="00C64BE0" w:rsidRDefault="00C64BE0" w:rsidP="00C64BE0">
      <w:pPr>
        <w:overflowPunct w:val="0"/>
        <w:autoSpaceDE w:val="0"/>
        <w:autoSpaceDN w:val="0"/>
        <w:adjustRightInd w:val="0"/>
        <w:jc w:val="right"/>
      </w:pPr>
      <w:r w:rsidRPr="00C64BE0">
        <w:t>Atklātā konkursa “Kaiju ielas pārbūve, Ventspilī”</w:t>
      </w:r>
      <w:r w:rsidRPr="00C64BE0">
        <w:rPr>
          <w:iCs/>
        </w:rPr>
        <w:t xml:space="preserve"> </w:t>
      </w:r>
      <w:r w:rsidRPr="00C64BE0">
        <w:t>nolikumam,</w:t>
      </w:r>
    </w:p>
    <w:p w14:paraId="506C8632" w14:textId="77777777" w:rsidR="00C64BE0" w:rsidRPr="00C64BE0" w:rsidRDefault="00C64BE0" w:rsidP="00C64BE0">
      <w:pPr>
        <w:overflowPunct w:val="0"/>
        <w:autoSpaceDE w:val="0"/>
        <w:autoSpaceDN w:val="0"/>
        <w:adjustRightInd w:val="0"/>
        <w:jc w:val="right"/>
        <w:rPr>
          <w:iCs/>
        </w:rPr>
      </w:pPr>
      <w:r w:rsidRPr="00C64BE0">
        <w:t>iepirkuma identifikācijas Nr. VBOP 2021/3 KF</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0D09" w14:textId="77777777" w:rsidR="006C66FA" w:rsidRPr="00EB7BBE" w:rsidRDefault="006C66FA" w:rsidP="006C66FA">
            <w:pPr>
              <w:jc w:val="center"/>
              <w:rPr>
                <w:sz w:val="24"/>
                <w:szCs w:val="24"/>
              </w:rPr>
            </w:pPr>
            <w:r w:rsidRPr="00EB7BBE">
              <w:rPr>
                <w:sz w:val="24"/>
                <w:szCs w:val="24"/>
              </w:rPr>
              <w:t>Apakšuzņēmējam nododamo būvdarbu apjoms %</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2"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2"/>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8"/>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2FD7B70B"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64BE0">
        <w:rPr>
          <w:sz w:val="24"/>
          <w:szCs w:val="24"/>
        </w:rPr>
        <w:t>“Kaiju ielas pārbūve</w:t>
      </w:r>
      <w:r w:rsidR="00CA13BE" w:rsidRPr="00CA13BE">
        <w:rPr>
          <w:sz w:val="24"/>
          <w:szCs w:val="24"/>
        </w:rPr>
        <w:t>, Ventspilī”</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3442CC">
        <w:rPr>
          <w:sz w:val="24"/>
          <w:szCs w:val="24"/>
        </w:rPr>
        <w:t>/</w:t>
      </w:r>
      <w:r w:rsidR="003C38A3">
        <w:rPr>
          <w:sz w:val="24"/>
          <w:szCs w:val="24"/>
        </w:rPr>
        <w:t>3</w:t>
      </w:r>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4FDC3" w14:textId="77777777" w:rsidR="00C91FCB" w:rsidRDefault="00C91FCB" w:rsidP="00591E97">
      <w:r>
        <w:separator/>
      </w:r>
    </w:p>
  </w:endnote>
  <w:endnote w:type="continuationSeparator" w:id="0">
    <w:p w14:paraId="71871601" w14:textId="77777777" w:rsidR="00C91FCB" w:rsidRDefault="00C91FCB"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E5318" w14:textId="77777777" w:rsidR="00C91FCB" w:rsidRDefault="00C91FCB" w:rsidP="00591E97">
      <w:r>
        <w:separator/>
      </w:r>
    </w:p>
  </w:footnote>
  <w:footnote w:type="continuationSeparator" w:id="0">
    <w:p w14:paraId="623FEB92" w14:textId="77777777" w:rsidR="00C91FCB" w:rsidRDefault="00C91FCB"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607AF6"/>
    <w:rsid w:val="0064782E"/>
    <w:rsid w:val="006C66FA"/>
    <w:rsid w:val="006F6C94"/>
    <w:rsid w:val="007449F3"/>
    <w:rsid w:val="007F7F21"/>
    <w:rsid w:val="008A224B"/>
    <w:rsid w:val="008B2029"/>
    <w:rsid w:val="00922EFE"/>
    <w:rsid w:val="00956894"/>
    <w:rsid w:val="00966D8B"/>
    <w:rsid w:val="009B6D3E"/>
    <w:rsid w:val="00B404FE"/>
    <w:rsid w:val="00C53565"/>
    <w:rsid w:val="00C64BE0"/>
    <w:rsid w:val="00C91FCB"/>
    <w:rsid w:val="00CA13BE"/>
    <w:rsid w:val="00D14AA1"/>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1723</Words>
  <Characters>983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8</cp:revision>
  <dcterms:created xsi:type="dcterms:W3CDTF">2020-05-18T14:22:00Z</dcterms:created>
  <dcterms:modified xsi:type="dcterms:W3CDTF">2021-01-27T09:58:00Z</dcterms:modified>
</cp:coreProperties>
</file>