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noProof/>
          <w:szCs w:val="24"/>
          <w:lang w:eastAsia="lv-LV"/>
        </w:rPr>
      </w:pPr>
      <w:r w:rsidRPr="002515AC">
        <w:rPr>
          <w:noProof/>
          <w:szCs w:val="24"/>
          <w:lang w:val="en-US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2515AC">
        <w:rPr>
          <w:szCs w:val="24"/>
        </w:rPr>
        <w:t xml:space="preserve">    </w:t>
      </w:r>
    </w:p>
    <w:p w14:paraId="16CDF2A5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</w:t>
      </w:r>
    </w:p>
    <w:p w14:paraId="75E27430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1C5C178B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25271D">
        <w:rPr>
          <w:szCs w:val="24"/>
        </w:rPr>
        <w:t>1</w:t>
      </w:r>
      <w:r w:rsidRPr="00723B22">
        <w:rPr>
          <w:szCs w:val="24"/>
        </w:rPr>
        <w:t xml:space="preserve">.gada </w:t>
      </w:r>
      <w:r w:rsidR="00BF04C7">
        <w:rPr>
          <w:szCs w:val="24"/>
        </w:rPr>
        <w:t>16.februāra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2515AC" w:rsidRDefault="00B37AB8" w:rsidP="00B37A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D0739D" w14:textId="77777777" w:rsidR="00B37AB8" w:rsidRPr="002515AC" w:rsidRDefault="00B37AB8" w:rsidP="00B37AB8">
      <w:pPr>
        <w:rPr>
          <w:rFonts w:ascii="Times New Roman" w:hAnsi="Times New Roman" w:cs="Times New Roman"/>
          <w:sz w:val="24"/>
          <w:szCs w:val="24"/>
        </w:rPr>
      </w:pPr>
    </w:p>
    <w:p w14:paraId="70F04B9D" w14:textId="77777777" w:rsidR="00B37AB8" w:rsidRPr="0025271D" w:rsidRDefault="00B37AB8" w:rsidP="00B37AB8">
      <w:pPr>
        <w:rPr>
          <w:rFonts w:ascii="Times New Roman" w:hAnsi="Times New Roman" w:cs="Times New Roman"/>
          <w:sz w:val="32"/>
          <w:szCs w:val="32"/>
        </w:rPr>
      </w:pPr>
    </w:p>
    <w:p w14:paraId="4D91B05C" w14:textId="77777777" w:rsidR="00B37AB8" w:rsidRPr="0025271D" w:rsidRDefault="00B37AB8" w:rsidP="00B37AB8">
      <w:pPr>
        <w:rPr>
          <w:rFonts w:ascii="Times New Roman" w:hAnsi="Times New Roman" w:cs="Times New Roman"/>
          <w:sz w:val="32"/>
          <w:szCs w:val="32"/>
        </w:rPr>
      </w:pPr>
    </w:p>
    <w:p w14:paraId="692789AB" w14:textId="77777777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ATKLĀTA KONKURSA</w:t>
      </w:r>
    </w:p>
    <w:p w14:paraId="2CD95391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67B17A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059F5" w14:textId="3E14C5F7" w:rsidR="00B37AB8" w:rsidRPr="0025271D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25271D">
        <w:rPr>
          <w:b/>
          <w:sz w:val="40"/>
          <w:szCs w:val="40"/>
        </w:rPr>
        <w:t>“</w:t>
      </w:r>
      <w:r w:rsidR="0025271D" w:rsidRPr="0025271D">
        <w:rPr>
          <w:b/>
          <w:sz w:val="40"/>
          <w:szCs w:val="40"/>
        </w:rPr>
        <w:t>Kaiju ielas pārbūve, Ventspilī</w:t>
      </w:r>
      <w:r w:rsidRPr="0025271D">
        <w:rPr>
          <w:b/>
          <w:sz w:val="40"/>
          <w:szCs w:val="40"/>
        </w:rPr>
        <w:t>”</w:t>
      </w:r>
    </w:p>
    <w:p w14:paraId="6757CE2A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8D0A02" w14:textId="77777777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proofErr w:type="gramStart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ar</w:t>
      </w:r>
      <w:proofErr w:type="spellEnd"/>
      <w:proofErr w:type="gramEnd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identifikācijas</w:t>
      </w:r>
      <w:proofErr w:type="spellEnd"/>
    </w:p>
    <w:p w14:paraId="73C5C604" w14:textId="2285D833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Nr. VBOP 202</w:t>
      </w:r>
      <w:r w:rsidR="0025271D" w:rsidRPr="0025271D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/</w:t>
      </w:r>
      <w:r w:rsidR="0025271D" w:rsidRPr="0025271D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 w:rsidR="002515AC" w:rsidRPr="0025271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KF</w:t>
      </w:r>
    </w:p>
    <w:p w14:paraId="054A78C0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070371" w14:textId="03C3D3D4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NOLIKUMA SKAIDROJUMI NR.1</w:t>
      </w:r>
      <w:r w:rsidR="0025271D" w:rsidRPr="0025271D">
        <w:rPr>
          <w:rFonts w:ascii="Times New Roman" w:hAnsi="Times New Roman" w:cs="Times New Roman"/>
          <w:b/>
          <w:sz w:val="32"/>
          <w:szCs w:val="32"/>
        </w:rPr>
        <w:t>-2</w:t>
      </w:r>
    </w:p>
    <w:p w14:paraId="491BC78A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649CCF" w14:textId="77777777" w:rsidR="0025271D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C2C988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Ventspils</w:t>
      </w:r>
    </w:p>
    <w:p w14:paraId="50BA3C6C" w14:textId="08E9B316" w:rsidR="00B37AB8" w:rsidRPr="002515AC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202</w:t>
      </w:r>
      <w:r w:rsidR="0025271D" w:rsidRPr="0025271D">
        <w:rPr>
          <w:rFonts w:ascii="Times New Roman" w:hAnsi="Times New Roman" w:cs="Times New Roman"/>
          <w:b/>
          <w:sz w:val="32"/>
          <w:szCs w:val="32"/>
        </w:rPr>
        <w:t>1</w:t>
      </w:r>
      <w:proofErr w:type="gramStart"/>
      <w:r w:rsidRPr="0025271D">
        <w:rPr>
          <w:rFonts w:ascii="Times New Roman" w:hAnsi="Times New Roman" w:cs="Times New Roman"/>
          <w:b/>
          <w:sz w:val="32"/>
          <w:szCs w:val="32"/>
        </w:rPr>
        <w:t>.gads</w:t>
      </w:r>
      <w:proofErr w:type="gramEnd"/>
      <w:r w:rsidRPr="0025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14:paraId="6B8E29CB" w14:textId="0770F77B" w:rsidR="0025271D" w:rsidRPr="00464C49" w:rsidRDefault="0025271D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1. skaidrojumi</w:t>
      </w:r>
    </w:p>
    <w:p w14:paraId="13D2D7EB" w14:textId="77777777" w:rsidR="0025271D" w:rsidRPr="00464C49" w:rsidRDefault="0025271D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13ACE928" w14:textId="76AB50E0" w:rsidR="00B37AB8" w:rsidRPr="00922D0D" w:rsidRDefault="0025271D" w:rsidP="00922D0D">
      <w:pPr>
        <w:pStyle w:val="ListParagraph"/>
        <w:numPr>
          <w:ilvl w:val="0"/>
          <w:numId w:val="4"/>
        </w:numPr>
        <w:shd w:val="clear" w:color="auto" w:fill="FFFFFF"/>
        <w:rPr>
          <w:b/>
          <w:color w:val="000000"/>
          <w:sz w:val="24"/>
          <w:szCs w:val="24"/>
        </w:rPr>
      </w:pPr>
      <w:r w:rsidRPr="00922D0D">
        <w:rPr>
          <w:b/>
          <w:color w:val="000000"/>
          <w:sz w:val="24"/>
          <w:szCs w:val="24"/>
        </w:rPr>
        <w:t>J</w:t>
      </w:r>
      <w:r w:rsidR="00B37AB8" w:rsidRPr="00922D0D">
        <w:rPr>
          <w:b/>
          <w:color w:val="000000"/>
          <w:sz w:val="24"/>
          <w:szCs w:val="24"/>
        </w:rPr>
        <w:t>autājums:</w:t>
      </w:r>
    </w:p>
    <w:p w14:paraId="6B7968EA" w14:textId="77777777" w:rsidR="002515AC" w:rsidRPr="00464C49" w:rsidRDefault="002515AC" w:rsidP="0025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5AB7C547" w14:textId="77777777" w:rsidR="000C3FEA" w:rsidRPr="00464C49" w:rsidRDefault="000C3FEA" w:rsidP="0092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Nolikuma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 7.pielikuma BŪVDARBU LĪGUMS:</w:t>
      </w:r>
    </w:p>
    <w:p w14:paraId="57180A96" w14:textId="77777777" w:rsidR="000C3FEA" w:rsidRPr="00464C49" w:rsidRDefault="000C3FEA" w:rsidP="000C3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līgumā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11.6.punkts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nosaka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veiktā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laiks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_________________ (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pretendenta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piedāvātais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termiņš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)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pieņemšanas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ekspluatācijā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parakstīšanas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brīža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bet ne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mazāk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60 (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sešdesmit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mēneši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Izpildītājam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pienākums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novērst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termiņa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konstatētos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būvniecības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Defektus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64C49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464C49">
        <w:rPr>
          <w:rFonts w:ascii="Times New Roman" w:hAnsi="Times New Roman" w:cs="Times New Roman"/>
          <w:sz w:val="24"/>
          <w:szCs w:val="24"/>
        </w:rPr>
        <w:t xml:space="preserve"> tie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radušies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Izpildītāja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dēļ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Puses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abpusēji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rakstiski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vienojas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Defektu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novēršanas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termiņu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.</w:t>
      </w:r>
    </w:p>
    <w:p w14:paraId="505AF582" w14:textId="77777777" w:rsidR="000C3FEA" w:rsidRPr="00464C49" w:rsidRDefault="000C3FEA" w:rsidP="000C3FEA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Informējam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horizontālo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apzīmējumu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neattiecas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horizontālajiem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apzīmējumiem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nodiluši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mehāniskas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iedarbības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rezultātā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dabiskais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nodilums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Iepriekš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minētais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apgalvojums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balstās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vairākiem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pamatojumiem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:</w:t>
      </w:r>
    </w:p>
    <w:p w14:paraId="4C894DF9" w14:textId="77777777" w:rsidR="000C3FEA" w:rsidRPr="00464C49" w:rsidRDefault="000C3FEA" w:rsidP="000C3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Pirmkārt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, LVS 1436:2007 + A1 “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apzīmējumu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apzīmējumu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funkcionālā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efektivitāte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.” 4.1. </w:t>
      </w:r>
      <w:proofErr w:type="spellStart"/>
      <w:proofErr w:type="gramStart"/>
      <w:r w:rsidRPr="00464C49">
        <w:rPr>
          <w:rFonts w:ascii="Times New Roman" w:hAnsi="Times New Roman" w:cs="Times New Roman"/>
          <w:sz w:val="24"/>
          <w:szCs w:val="24"/>
        </w:rPr>
        <w:t>punkta</w:t>
      </w:r>
      <w:proofErr w:type="spellEnd"/>
      <w:proofErr w:type="gramEnd"/>
      <w:r w:rsidRPr="00464C4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464C49">
        <w:rPr>
          <w:rFonts w:ascii="Times New Roman" w:hAnsi="Times New Roman" w:cs="Times New Roman"/>
          <w:sz w:val="24"/>
          <w:szCs w:val="24"/>
        </w:rPr>
        <w:t>piezīme</w:t>
      </w:r>
      <w:proofErr w:type="spellEnd"/>
      <w:proofErr w:type="gram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nosaka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kalpošanas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laika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ilgums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atkarīgs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apzīmējumiem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notiek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kustība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satiksmes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intensitātes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virsmas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nelīdzenuma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pakāpes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vietējiem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apstākļiem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tādiem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radžotu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riepu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izmantošanas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dažās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valstīs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.</w:t>
      </w:r>
    </w:p>
    <w:p w14:paraId="4A8129D1" w14:textId="77777777" w:rsidR="000C3FEA" w:rsidRPr="00464C49" w:rsidRDefault="000C3FEA" w:rsidP="000C3F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Otrkārt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, VAS “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” 2013.gada 17.oktobra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valdes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sēdes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protokolā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Nr.22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ietverts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saistības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plašāks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skaidrojums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nosaka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saistības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neattiecas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pakļauti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normālam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nolietojumam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ekspluatācijas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gaitā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tajā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skaitā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krāsotajiem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horizontālajiem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marķējumiem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dēļ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noteikts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gadu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termiņš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aukstajiem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karstajiem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plastikātu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horizontālajiem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apzīmējumiem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.</w:t>
      </w:r>
    </w:p>
    <w:p w14:paraId="582E0107" w14:textId="77777777" w:rsidR="000C3FEA" w:rsidRPr="00464C49" w:rsidRDefault="000C3FEA" w:rsidP="000C3F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Treškārt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vienā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no VAS “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konkursā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notikušajām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sarakstēm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uzdots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jautājums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par to,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marķējuma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dabiskais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nodilums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radies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satiksmei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intensīvi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deldējot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marķējumu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netiks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uzskatīts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defektu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kuru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saņemta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atbilde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netiks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uzskatīts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defektu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.</w:t>
      </w:r>
    </w:p>
    <w:p w14:paraId="77EA5C08" w14:textId="77777777" w:rsidR="000C3FEA" w:rsidRPr="00464C49" w:rsidRDefault="000C3FEA" w:rsidP="000C3F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Ceturtkārt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Republikas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Ekonomikas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ministrija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jautājumā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saistību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izpratni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izpildē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norādīja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novēršami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tādi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defekti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saistīti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nekvalitatīvu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izpildi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neattiecas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Būvniecības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likuma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izpratnē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dabisko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nolietojumu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defektiem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radušies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nepareizas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ekspluatācijas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.</w:t>
      </w:r>
    </w:p>
    <w:p w14:paraId="74D98DB9" w14:textId="77777777" w:rsidR="000C3FEA" w:rsidRPr="00464C49" w:rsidRDefault="000C3FEA" w:rsidP="000C3F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Tāpat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vērtējot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jēdziena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jēgu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skaidrojuma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likumā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līgumā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noteikta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saistība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uzņemties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atbildību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netiek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veikts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veikts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nepareizi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attiecīgi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piemērotu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prasību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izpildīt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saistību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prasījums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jāpamato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norādi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devējs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rīkojies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nepareizi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nav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rīkojies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).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šī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skaidrojuma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secināms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saistība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nepastāv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gadījumos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64C49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defekts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radies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vienkāršā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nolietojuma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ietvaros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devēja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nepilnības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ražošanas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kļūdas</w:t>
      </w:r>
      <w:proofErr w:type="spellEnd"/>
    </w:p>
    <w:p w14:paraId="591EE4EC" w14:textId="77777777" w:rsidR="000C3FEA" w:rsidRPr="00464C49" w:rsidRDefault="000C3FEA" w:rsidP="000C3FEA">
      <w:pPr>
        <w:pStyle w:val="ListParagraph"/>
        <w:ind w:left="0"/>
        <w:jc w:val="both"/>
        <w:rPr>
          <w:sz w:val="24"/>
          <w:szCs w:val="24"/>
        </w:rPr>
      </w:pPr>
      <w:r w:rsidRPr="00464C49">
        <w:rPr>
          <w:sz w:val="24"/>
          <w:szCs w:val="24"/>
        </w:rPr>
        <w:t>Ņemot vērā iepriekš minēto, lūdzu atsevišķām Darbu daļām noteikt šāds kvalitātes garantijas termiņus un veikt labojumu Būvdarbu līguma 11.6.punktā: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491"/>
        <w:gridCol w:w="2447"/>
      </w:tblGrid>
      <w:tr w:rsidR="000C3FEA" w:rsidRPr="00464C49" w14:paraId="09F55735" w14:textId="77777777" w:rsidTr="009F70DE">
        <w:trPr>
          <w:jc w:val="center"/>
        </w:trPr>
        <w:tc>
          <w:tcPr>
            <w:tcW w:w="927" w:type="dxa"/>
            <w:vAlign w:val="center"/>
          </w:tcPr>
          <w:p w14:paraId="11410F2C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p.k</w:t>
            </w:r>
            <w:proofErr w:type="spellEnd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91" w:type="dxa"/>
            <w:vAlign w:val="center"/>
          </w:tcPr>
          <w:p w14:paraId="07EFD1DF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Darbu</w:t>
            </w:r>
            <w:proofErr w:type="spellEnd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daļa</w:t>
            </w:r>
            <w:proofErr w:type="spellEnd"/>
          </w:p>
        </w:tc>
        <w:tc>
          <w:tcPr>
            <w:tcW w:w="2447" w:type="dxa"/>
            <w:vAlign w:val="center"/>
          </w:tcPr>
          <w:p w14:paraId="1653050C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Darbu</w:t>
            </w:r>
            <w:proofErr w:type="spellEnd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daļas</w:t>
            </w:r>
            <w:proofErr w:type="spellEnd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kvalitātes</w:t>
            </w:r>
            <w:proofErr w:type="spellEnd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garantijas</w:t>
            </w:r>
            <w:proofErr w:type="spellEnd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b/>
                <w:sz w:val="24"/>
                <w:szCs w:val="24"/>
              </w:rPr>
              <w:t>termiņš</w:t>
            </w:r>
            <w:proofErr w:type="spellEnd"/>
          </w:p>
        </w:tc>
      </w:tr>
      <w:tr w:rsidR="000C3FEA" w:rsidRPr="00464C49" w14:paraId="3E48E9C6" w14:textId="77777777" w:rsidTr="009F70DE">
        <w:trPr>
          <w:jc w:val="center"/>
        </w:trPr>
        <w:tc>
          <w:tcPr>
            <w:tcW w:w="927" w:type="dxa"/>
            <w:vAlign w:val="center"/>
          </w:tcPr>
          <w:p w14:paraId="241F486C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1" w:type="dxa"/>
            <w:vAlign w:val="center"/>
          </w:tcPr>
          <w:p w14:paraId="5F2A2B9A" w14:textId="77777777" w:rsidR="000C3FEA" w:rsidRPr="00464C49" w:rsidRDefault="000C3FEA" w:rsidP="009F70D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aukstie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karstie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plastikāti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horizontāliem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ceļu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marķējumiem</w:t>
            </w:r>
            <w:proofErr w:type="spellEnd"/>
          </w:p>
        </w:tc>
        <w:tc>
          <w:tcPr>
            <w:tcW w:w="2447" w:type="dxa"/>
            <w:vAlign w:val="center"/>
          </w:tcPr>
          <w:p w14:paraId="6FD7A103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gadi</w:t>
            </w:r>
            <w:proofErr w:type="spellEnd"/>
          </w:p>
        </w:tc>
      </w:tr>
      <w:tr w:rsidR="000C3FEA" w:rsidRPr="00464C49" w14:paraId="48C577D3" w14:textId="77777777" w:rsidTr="009F70DE">
        <w:trPr>
          <w:jc w:val="center"/>
        </w:trPr>
        <w:tc>
          <w:tcPr>
            <w:tcW w:w="927" w:type="dxa"/>
            <w:vAlign w:val="center"/>
          </w:tcPr>
          <w:p w14:paraId="0E3D2A2C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1" w:type="dxa"/>
            <w:vAlign w:val="center"/>
          </w:tcPr>
          <w:p w14:paraId="5B879A46" w14:textId="77777777" w:rsidR="000C3FEA" w:rsidRPr="00464C49" w:rsidRDefault="000C3FEA" w:rsidP="009F70D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nogāžu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noturība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pret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izskalojumiem</w:t>
            </w:r>
            <w:proofErr w:type="spellEnd"/>
          </w:p>
        </w:tc>
        <w:tc>
          <w:tcPr>
            <w:tcW w:w="2447" w:type="dxa"/>
            <w:vAlign w:val="center"/>
          </w:tcPr>
          <w:p w14:paraId="7C36436C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gadi</w:t>
            </w:r>
            <w:proofErr w:type="spellEnd"/>
          </w:p>
        </w:tc>
      </w:tr>
      <w:tr w:rsidR="000C3FEA" w:rsidRPr="00464C49" w14:paraId="7C2A132E" w14:textId="77777777" w:rsidTr="009F70DE">
        <w:trPr>
          <w:jc w:val="center"/>
        </w:trPr>
        <w:tc>
          <w:tcPr>
            <w:tcW w:w="927" w:type="dxa"/>
            <w:vAlign w:val="center"/>
          </w:tcPr>
          <w:p w14:paraId="5A92C194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1" w:type="dxa"/>
            <w:vAlign w:val="center"/>
          </w:tcPr>
          <w:p w14:paraId="4B192222" w14:textId="77777777" w:rsidR="000C3FEA" w:rsidRPr="00464C49" w:rsidRDefault="000C3FEA" w:rsidP="009F70D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koka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konstrukciju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aizsardzības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pārklājumi</w:t>
            </w:r>
            <w:proofErr w:type="spellEnd"/>
          </w:p>
        </w:tc>
        <w:tc>
          <w:tcPr>
            <w:tcW w:w="2447" w:type="dxa"/>
            <w:vAlign w:val="center"/>
          </w:tcPr>
          <w:p w14:paraId="1E3F4440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gadi</w:t>
            </w:r>
            <w:proofErr w:type="spellEnd"/>
          </w:p>
        </w:tc>
      </w:tr>
      <w:tr w:rsidR="000C3FEA" w:rsidRPr="00464C49" w14:paraId="0829100D" w14:textId="77777777" w:rsidTr="009F70DE">
        <w:trPr>
          <w:jc w:val="center"/>
        </w:trPr>
        <w:tc>
          <w:tcPr>
            <w:tcW w:w="927" w:type="dxa"/>
            <w:vAlign w:val="center"/>
          </w:tcPr>
          <w:p w14:paraId="752EB3EF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1" w:type="dxa"/>
            <w:vAlign w:val="center"/>
          </w:tcPr>
          <w:p w14:paraId="1BB9CB24" w14:textId="77777777" w:rsidR="000C3FEA" w:rsidRPr="00464C49" w:rsidRDefault="000C3FEA" w:rsidP="009F70D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ierīces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iekārtas</w:t>
            </w:r>
            <w:proofErr w:type="spellEnd"/>
          </w:p>
        </w:tc>
        <w:tc>
          <w:tcPr>
            <w:tcW w:w="2447" w:type="dxa"/>
            <w:vAlign w:val="center"/>
          </w:tcPr>
          <w:p w14:paraId="41B2EC89" w14:textId="77777777" w:rsidR="000C3FEA" w:rsidRPr="00464C49" w:rsidRDefault="000C3FEA" w:rsidP="009F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ražotāja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noteiktais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garantijas</w:t>
            </w:r>
            <w:proofErr w:type="spellEnd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C49">
              <w:rPr>
                <w:rFonts w:ascii="Times New Roman" w:hAnsi="Times New Roman" w:cs="Times New Roman"/>
                <w:sz w:val="24"/>
                <w:szCs w:val="24"/>
              </w:rPr>
              <w:t>termiņš</w:t>
            </w:r>
            <w:proofErr w:type="spellEnd"/>
          </w:p>
        </w:tc>
      </w:tr>
    </w:tbl>
    <w:p w14:paraId="6B2BC58F" w14:textId="77777777" w:rsidR="00922D0D" w:rsidRPr="00922D0D" w:rsidRDefault="00922D0D" w:rsidP="00922D0D">
      <w:pPr>
        <w:spacing w:after="0" w:line="240" w:lineRule="auto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lv-LV"/>
        </w:rPr>
      </w:pPr>
    </w:p>
    <w:p w14:paraId="0946F604" w14:textId="1C8016B5" w:rsidR="00922D0D" w:rsidRPr="007C4022" w:rsidRDefault="00922D0D" w:rsidP="00922D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</w:pP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  <w:t>Atbilde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  <w:t>:</w:t>
      </w:r>
    </w:p>
    <w:p w14:paraId="55A1EF06" w14:textId="77777777" w:rsidR="00A10F8A" w:rsidRPr="007C4022" w:rsidRDefault="00A10F8A" w:rsidP="00922D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</w:pPr>
    </w:p>
    <w:p w14:paraId="405B9E2F" w14:textId="1D7A76FD" w:rsidR="00A10F8A" w:rsidRDefault="00A10F8A" w:rsidP="00A10F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</w:pP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Būvdarbu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garantijas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laikā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novēršami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tādi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defekti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,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kas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saistīti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ar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nekvalitatīvu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būvdarbu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izpildi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,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ievērojot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iepirkuma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līguma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projektā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norādīto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, </w:t>
      </w:r>
      <w:proofErr w:type="gram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un</w:t>
      </w:r>
      <w:proofErr w:type="gram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garantija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neattiecas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uz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būves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(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būvniecības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likuma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izpratnē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)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dabisko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nolietojumu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un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defektiem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,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kas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radušies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no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būves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pareizas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ekspluatācijas</w:t>
      </w:r>
      <w:proofErr w:type="spellEnd"/>
      <w:r w:rsidRPr="007C4022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.</w:t>
      </w:r>
    </w:p>
    <w:p w14:paraId="3E9A99B5" w14:textId="77777777" w:rsidR="00922D0D" w:rsidRPr="00922D0D" w:rsidRDefault="00922D0D" w:rsidP="00922D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</w:pPr>
    </w:p>
    <w:p w14:paraId="44941A26" w14:textId="77777777" w:rsidR="000C3FEA" w:rsidRPr="00464C49" w:rsidRDefault="000C3FEA" w:rsidP="000C3F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719A009" w14:textId="77777777" w:rsidR="00922D0D" w:rsidRPr="00922D0D" w:rsidRDefault="00922D0D" w:rsidP="00922D0D">
      <w:pPr>
        <w:pStyle w:val="ListParagraph"/>
        <w:numPr>
          <w:ilvl w:val="0"/>
          <w:numId w:val="2"/>
        </w:numPr>
        <w:jc w:val="both"/>
        <w:rPr>
          <w:rFonts w:eastAsiaTheme="minorHAnsi"/>
          <w:b/>
          <w:vanish/>
          <w:sz w:val="24"/>
          <w:szCs w:val="24"/>
        </w:rPr>
      </w:pPr>
    </w:p>
    <w:p w14:paraId="1D35A090" w14:textId="2C82F5BA" w:rsidR="00922D0D" w:rsidRPr="00922D0D" w:rsidRDefault="00922D0D" w:rsidP="00922D0D">
      <w:pPr>
        <w:pStyle w:val="ListParagraph"/>
        <w:numPr>
          <w:ilvl w:val="0"/>
          <w:numId w:val="2"/>
        </w:numPr>
        <w:jc w:val="both"/>
        <w:rPr>
          <w:rFonts w:eastAsiaTheme="minorHAnsi"/>
          <w:b/>
          <w:sz w:val="24"/>
          <w:szCs w:val="24"/>
        </w:rPr>
      </w:pPr>
      <w:r w:rsidRPr="00922D0D">
        <w:rPr>
          <w:rFonts w:eastAsiaTheme="minorHAnsi"/>
          <w:b/>
          <w:sz w:val="24"/>
          <w:szCs w:val="24"/>
        </w:rPr>
        <w:t>Jautājums:</w:t>
      </w:r>
    </w:p>
    <w:p w14:paraId="749CB713" w14:textId="77777777" w:rsidR="00922D0D" w:rsidRPr="00922D0D" w:rsidRDefault="00922D0D" w:rsidP="00922D0D">
      <w:pPr>
        <w:pStyle w:val="ListParagraph"/>
        <w:jc w:val="both"/>
        <w:rPr>
          <w:rFonts w:eastAsiaTheme="minorHAnsi"/>
          <w:sz w:val="24"/>
          <w:szCs w:val="24"/>
        </w:rPr>
      </w:pPr>
    </w:p>
    <w:p w14:paraId="00BBFAF3" w14:textId="77777777" w:rsidR="000C3FEA" w:rsidRPr="00464C49" w:rsidRDefault="000C3FEA" w:rsidP="0092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Būvprojektā</w:t>
      </w:r>
      <w:proofErr w:type="spell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proofErr w:type="gram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ko</w:t>
      </w:r>
      <w:proofErr w:type="spellEnd"/>
      <w:proofErr w:type="gram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izstrādājis</w:t>
      </w:r>
      <w:proofErr w:type="spell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SIA “</w:t>
      </w:r>
      <w:proofErr w:type="spell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Projekts</w:t>
      </w:r>
      <w:proofErr w:type="spell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3” </w:t>
      </w:r>
      <w:proofErr w:type="spell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Ceļu</w:t>
      </w:r>
      <w:proofErr w:type="spell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daļā</w:t>
      </w:r>
      <w:proofErr w:type="spell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Satiksmes</w:t>
      </w:r>
      <w:proofErr w:type="spell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intensitāte</w:t>
      </w:r>
      <w:proofErr w:type="spell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norādīts</w:t>
      </w:r>
      <w:proofErr w:type="spellEnd"/>
      <w:r w:rsidRPr="00464C49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696F945" w14:textId="77777777" w:rsidR="000C3FEA" w:rsidRPr="00464C49" w:rsidRDefault="000C3FEA" w:rsidP="000C3F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Aprēķinātā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gada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vidējā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diennakts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intensitāte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64C49">
        <w:rPr>
          <w:rFonts w:ascii="Times New Roman" w:hAnsi="Times New Roman" w:cs="Times New Roman"/>
          <w:sz w:val="24"/>
          <w:szCs w:val="24"/>
        </w:rPr>
        <w:t>kura</w:t>
      </w:r>
      <w:proofErr w:type="spellEnd"/>
      <w:proofErr w:type="gram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sastādīja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2374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trl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/24h, 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kuriem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kravas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transports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3.30%.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Savukārt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specifikācijas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2019</w:t>
      </w:r>
      <w:proofErr w:type="gramStart"/>
      <w:r w:rsidRPr="00464C49"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punkts</w:t>
      </w:r>
      <w:proofErr w:type="spellEnd"/>
      <w:proofErr w:type="gramEnd"/>
      <w:r w:rsidRPr="00464C49">
        <w:rPr>
          <w:rFonts w:ascii="Times New Roman" w:hAnsi="Times New Roman" w:cs="Times New Roman"/>
          <w:sz w:val="24"/>
          <w:szCs w:val="24"/>
        </w:rPr>
        <w:t xml:space="preserve"> 6.2.4.5.2.4. </w:t>
      </w:r>
      <w:proofErr w:type="spellStart"/>
      <w:proofErr w:type="gramStart"/>
      <w:r w:rsidRPr="00464C49">
        <w:rPr>
          <w:rFonts w:ascii="Times New Roman" w:hAnsi="Times New Roman" w:cs="Times New Roman"/>
          <w:sz w:val="24"/>
          <w:szCs w:val="24"/>
        </w:rPr>
        <w:t>šķembu</w:t>
      </w:r>
      <w:proofErr w:type="spellEnd"/>
      <w:proofErr w:type="gram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mastikas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asfaltam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SMA-11,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lietojamo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rupjo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stiprības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klasi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nosaka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atkarībā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3861116"/>
      <w:r w:rsidRPr="00464C49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AADTj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pievestā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8E5A05D" w14:textId="77777777" w:rsidR="000C3FEA" w:rsidRPr="00464C49" w:rsidRDefault="000C3FEA" w:rsidP="000C3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Lūdzam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 dot </w:t>
      </w: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atbildi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kāda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 Kaiju </w:t>
      </w: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ielas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satiksmes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intensitāte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AADTj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  <w:u w:val="single"/>
        </w:rPr>
        <w:t>pievestā</w:t>
      </w:r>
      <w:proofErr w:type="spellEnd"/>
      <w:r w:rsidRPr="00464C49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3B283E73" w14:textId="77777777" w:rsidR="00922D0D" w:rsidRDefault="00922D0D" w:rsidP="00922D0D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401CA655" w14:textId="77777777" w:rsidR="00922D0D" w:rsidRPr="008F788F" w:rsidRDefault="00922D0D" w:rsidP="00922D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</w:pPr>
      <w:proofErr w:type="spellStart"/>
      <w:r w:rsidRPr="008F788F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  <w:t>Atbilde</w:t>
      </w:r>
      <w:proofErr w:type="spellEnd"/>
      <w:r w:rsidRPr="008F788F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  <w:t>:</w:t>
      </w:r>
    </w:p>
    <w:p w14:paraId="18A4D97C" w14:textId="77777777" w:rsidR="00276E21" w:rsidRDefault="00276E21" w:rsidP="00922D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</w:pPr>
    </w:p>
    <w:p w14:paraId="26FB9DCB" w14:textId="71A801CE" w:rsidR="00276E21" w:rsidRPr="00922D0D" w:rsidRDefault="00276E21" w:rsidP="00276E2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Kaijas</w:t>
      </w:r>
      <w:proofErr w:type="spellEnd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ielas</w:t>
      </w:r>
      <w:proofErr w:type="spellEnd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AADTj</w:t>
      </w:r>
      <w:proofErr w:type="spellEnd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pievestā</w:t>
      </w:r>
      <w:proofErr w:type="spellEnd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= 1811, </w:t>
      </w:r>
      <w:proofErr w:type="spellStart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AADTj</w:t>
      </w:r>
      <w:proofErr w:type="spellEnd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>kravas</w:t>
      </w:r>
      <w:proofErr w:type="spellEnd"/>
      <w:r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  <w:t xml:space="preserve"> = 315.</w:t>
      </w:r>
    </w:p>
    <w:p w14:paraId="2625F176" w14:textId="77777777" w:rsidR="00922D0D" w:rsidRPr="00922D0D" w:rsidRDefault="00922D0D" w:rsidP="00922D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</w:pPr>
    </w:p>
    <w:p w14:paraId="031B0F0A" w14:textId="77777777" w:rsidR="00922D0D" w:rsidRDefault="00922D0D" w:rsidP="00922D0D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1F0A702" w14:textId="2BCB8917" w:rsidR="00922D0D" w:rsidRDefault="00922D0D" w:rsidP="00922D0D">
      <w:pPr>
        <w:pStyle w:val="ListParagraph"/>
        <w:numPr>
          <w:ilvl w:val="0"/>
          <w:numId w:val="2"/>
        </w:numPr>
        <w:spacing w:after="120"/>
        <w:jc w:val="both"/>
        <w:rPr>
          <w:b/>
          <w:bCs/>
          <w:sz w:val="24"/>
          <w:szCs w:val="24"/>
        </w:rPr>
      </w:pPr>
      <w:r w:rsidRPr="00922D0D">
        <w:rPr>
          <w:b/>
          <w:bCs/>
          <w:sz w:val="24"/>
          <w:szCs w:val="24"/>
        </w:rPr>
        <w:t>Jautājums:</w:t>
      </w:r>
    </w:p>
    <w:p w14:paraId="3A56F1BA" w14:textId="77777777" w:rsidR="00922D0D" w:rsidRPr="00922D0D" w:rsidRDefault="00922D0D" w:rsidP="00922D0D">
      <w:pPr>
        <w:spacing w:after="120"/>
        <w:jc w:val="both"/>
        <w:rPr>
          <w:bCs/>
          <w:sz w:val="24"/>
          <w:szCs w:val="24"/>
        </w:rPr>
      </w:pPr>
    </w:p>
    <w:p w14:paraId="6F154855" w14:textId="77777777" w:rsidR="000C3FEA" w:rsidRPr="00464C49" w:rsidRDefault="000C3FEA" w:rsidP="00922D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nolikuma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10.pielikumā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pievienotajā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Tehniskajā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dokumentācija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un 8.pielikumā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pievienotajiem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apjomiem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pozīcijā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3.2.5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atsauce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būvizstrādājumu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armēšanas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ģeosintētisko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Ģeorežģa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Tensar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Triax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ekvivalenta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būvniecība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Papildus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minētajā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dokumentā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atbilstoši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Sabiedrisko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pakalpojumu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sniedzēju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iepirkumu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likuma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23.panta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sestās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daļas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paredzētas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piegādātāju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tiesības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piedāvāt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ekvivalentu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.</w:t>
      </w:r>
    </w:p>
    <w:p w14:paraId="1E84D367" w14:textId="77777777" w:rsidR="000C3FEA" w:rsidRPr="00464C49" w:rsidRDefault="000C3FEA" w:rsidP="000C3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Lūdzu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sniegt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armēšanas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ģeosintētiskā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Ģeorežģa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Tensar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Triax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analoga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materiāla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nepieciešamos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parametrus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atbilstoši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standartam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EN 13249 “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Ģeotekstilmateriāli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tiem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radniecīgi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izstrādājumi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Nepieciešamie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raksturojumi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lietošanai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citu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satiksmes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platību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būvniecībā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izņemot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dzelzceļus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asfalta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segumus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>)” un “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specifikācijas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2019”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4.5 “</w:t>
      </w:r>
      <w:proofErr w:type="spellStart"/>
      <w:r w:rsidRPr="00464C49">
        <w:rPr>
          <w:rFonts w:ascii="Times New Roman" w:hAnsi="Times New Roman" w:cs="Times New Roman"/>
          <w:i/>
          <w:iCs/>
          <w:sz w:val="24"/>
          <w:szCs w:val="24"/>
        </w:rPr>
        <w:t>Ar</w:t>
      </w:r>
      <w:proofErr w:type="spellEnd"/>
      <w:r w:rsidRPr="00464C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i/>
          <w:iCs/>
          <w:sz w:val="24"/>
          <w:szCs w:val="24"/>
        </w:rPr>
        <w:t>saistvielām</w:t>
      </w:r>
      <w:proofErr w:type="spellEnd"/>
      <w:r w:rsidRPr="00464C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i/>
          <w:iCs/>
          <w:sz w:val="24"/>
          <w:szCs w:val="24"/>
        </w:rPr>
        <w:t>nesaistītu</w:t>
      </w:r>
      <w:proofErr w:type="spellEnd"/>
      <w:r w:rsidRPr="00464C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i/>
          <w:iCs/>
          <w:sz w:val="24"/>
          <w:szCs w:val="24"/>
        </w:rPr>
        <w:t>kārtu</w:t>
      </w:r>
      <w:proofErr w:type="spellEnd"/>
      <w:r w:rsidRPr="00464C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i/>
          <w:iCs/>
          <w:sz w:val="24"/>
          <w:szCs w:val="24"/>
        </w:rPr>
        <w:t>armēšana</w:t>
      </w:r>
      <w:proofErr w:type="spellEnd"/>
      <w:r w:rsidRPr="00464C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i/>
          <w:iCs/>
          <w:sz w:val="24"/>
          <w:szCs w:val="24"/>
        </w:rPr>
        <w:t>vai</w:t>
      </w:r>
      <w:proofErr w:type="spellEnd"/>
      <w:r w:rsidRPr="00464C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4C49">
        <w:rPr>
          <w:rFonts w:ascii="Times New Roman" w:hAnsi="Times New Roman" w:cs="Times New Roman"/>
          <w:i/>
          <w:iCs/>
          <w:sz w:val="24"/>
          <w:szCs w:val="24"/>
        </w:rPr>
        <w:t>atdalīšana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64C49">
        <w:rPr>
          <w:rFonts w:ascii="Times New Roman" w:hAnsi="Times New Roman" w:cs="Times New Roman"/>
          <w:sz w:val="24"/>
          <w:szCs w:val="24"/>
        </w:rPr>
        <w:t>tabulai</w:t>
      </w:r>
      <w:proofErr w:type="spellEnd"/>
      <w:r w:rsidRPr="00464C49">
        <w:rPr>
          <w:rFonts w:ascii="Times New Roman" w:hAnsi="Times New Roman" w:cs="Times New Roman"/>
          <w:sz w:val="24"/>
          <w:szCs w:val="24"/>
        </w:rPr>
        <w:t xml:space="preserve"> 4.5-1.</w:t>
      </w:r>
    </w:p>
    <w:p w14:paraId="00CBFFA5" w14:textId="348EF65D" w:rsidR="009A3E71" w:rsidRDefault="009A3E71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3EEDC30D" w14:textId="77777777" w:rsidR="00922D0D" w:rsidRPr="008F788F" w:rsidRDefault="00922D0D" w:rsidP="00922D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</w:pPr>
      <w:proofErr w:type="spellStart"/>
      <w:r w:rsidRPr="008F788F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  <w:t>Atbilde</w:t>
      </w:r>
      <w:proofErr w:type="spellEnd"/>
      <w:r w:rsidRPr="008F788F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eastAsia="lv-LV"/>
        </w:rPr>
        <w:t>:</w:t>
      </w:r>
    </w:p>
    <w:p w14:paraId="01AE594F" w14:textId="77777777" w:rsidR="00276E21" w:rsidRDefault="00276E21" w:rsidP="00922D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lang w:eastAsia="lv-LV"/>
        </w:rPr>
      </w:pPr>
    </w:p>
    <w:p w14:paraId="03847F96" w14:textId="77777777" w:rsidR="00276E21" w:rsidRDefault="00276E21" w:rsidP="00A10F8A">
      <w:pPr>
        <w:shd w:val="clear" w:color="auto" w:fill="FFFFFF"/>
        <w:ind w:firstLine="360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ekvivalentu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iepirkuma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dokumentācijā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norādītajam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ģeorežģim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Tensar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Triax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atzīts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ekstrudēts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ģeorežģis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kurš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ražots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atbilstoši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standartam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EN 4657 “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Ģeotekstilmateriāli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tiem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radniecīgi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izstrādājumi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zemāk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minētajiem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parametriem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:</w:t>
      </w:r>
    </w:p>
    <w:p w14:paraId="0D1F4775" w14:textId="77777777" w:rsidR="00276E21" w:rsidRDefault="00276E21" w:rsidP="00A10F8A">
      <w:pPr>
        <w:pStyle w:val="ListParagraph"/>
        <w:numPr>
          <w:ilvl w:val="0"/>
          <w:numId w:val="6"/>
        </w:numPr>
        <w:shd w:val="clear" w:color="auto" w:fill="FFFFFF"/>
        <w:jc w:val="both"/>
        <w:rPr>
          <w:i/>
          <w:color w:val="2F5496" w:themeColor="accent5" w:themeShade="BF"/>
          <w:sz w:val="24"/>
          <w:szCs w:val="24"/>
        </w:rPr>
      </w:pPr>
      <w:proofErr w:type="spellStart"/>
      <w:r>
        <w:rPr>
          <w:i/>
          <w:color w:val="2F5496" w:themeColor="accent5" w:themeShade="BF"/>
          <w:sz w:val="24"/>
          <w:szCs w:val="24"/>
        </w:rPr>
        <w:t>Ģeorežģa</w:t>
      </w:r>
      <w:proofErr w:type="spellEnd"/>
      <w:r>
        <w:rPr>
          <w:i/>
          <w:color w:val="2F5496" w:themeColor="accent5" w:themeShade="BF"/>
          <w:sz w:val="24"/>
          <w:szCs w:val="24"/>
        </w:rPr>
        <w:t xml:space="preserve"> funkcija saskaņā ar NE 13249 un Ceļu specifikācijām 2019 – ARMĒŠANA;</w:t>
      </w:r>
    </w:p>
    <w:p w14:paraId="0404FC32" w14:textId="77777777" w:rsidR="00276E21" w:rsidRDefault="00276E21" w:rsidP="00A10F8A">
      <w:pPr>
        <w:pStyle w:val="ListParagraph"/>
        <w:numPr>
          <w:ilvl w:val="0"/>
          <w:numId w:val="6"/>
        </w:numPr>
        <w:shd w:val="clear" w:color="auto" w:fill="FFFFFF"/>
        <w:jc w:val="both"/>
        <w:rPr>
          <w:i/>
          <w:color w:val="2F5496" w:themeColor="accent5" w:themeShade="BF"/>
          <w:sz w:val="24"/>
          <w:szCs w:val="24"/>
        </w:rPr>
      </w:pPr>
      <w:r>
        <w:rPr>
          <w:i/>
          <w:color w:val="2F5496" w:themeColor="accent5" w:themeShade="BF"/>
          <w:sz w:val="24"/>
          <w:szCs w:val="24"/>
        </w:rPr>
        <w:t xml:space="preserve">Stiepes garums pēc NE 10319 ≥ 40 </w:t>
      </w:r>
      <w:proofErr w:type="spellStart"/>
      <w:r>
        <w:rPr>
          <w:i/>
          <w:color w:val="2F5496" w:themeColor="accent5" w:themeShade="BF"/>
          <w:sz w:val="24"/>
          <w:szCs w:val="24"/>
        </w:rPr>
        <w:t>kN</w:t>
      </w:r>
      <w:proofErr w:type="spellEnd"/>
      <w:r>
        <w:rPr>
          <w:i/>
          <w:color w:val="2F5496" w:themeColor="accent5" w:themeShade="BF"/>
          <w:sz w:val="24"/>
          <w:szCs w:val="24"/>
        </w:rPr>
        <w:t>/m;</w:t>
      </w:r>
    </w:p>
    <w:p w14:paraId="4E4BAF7A" w14:textId="77777777" w:rsidR="00276E21" w:rsidRDefault="00276E21" w:rsidP="00A10F8A">
      <w:pPr>
        <w:pStyle w:val="ListParagraph"/>
        <w:numPr>
          <w:ilvl w:val="0"/>
          <w:numId w:val="6"/>
        </w:numPr>
        <w:shd w:val="clear" w:color="auto" w:fill="FFFFFF"/>
        <w:jc w:val="both"/>
        <w:rPr>
          <w:i/>
          <w:color w:val="2F5496" w:themeColor="accent5" w:themeShade="BF"/>
          <w:sz w:val="24"/>
          <w:szCs w:val="24"/>
        </w:rPr>
      </w:pPr>
      <w:r>
        <w:rPr>
          <w:i/>
          <w:color w:val="2F5496" w:themeColor="accent5" w:themeShade="BF"/>
          <w:sz w:val="24"/>
          <w:szCs w:val="24"/>
        </w:rPr>
        <w:t>Pagarinājums pie maksimālās slodzes pēc NE 10319≤11%;</w:t>
      </w:r>
    </w:p>
    <w:p w14:paraId="4897C6B1" w14:textId="77777777" w:rsidR="00276E21" w:rsidRPr="00922D0D" w:rsidRDefault="00276E21" w:rsidP="00A10F8A">
      <w:pPr>
        <w:pStyle w:val="ListParagraph"/>
        <w:numPr>
          <w:ilvl w:val="0"/>
          <w:numId w:val="6"/>
        </w:numPr>
        <w:shd w:val="clear" w:color="auto" w:fill="FFFFFF"/>
        <w:jc w:val="both"/>
        <w:rPr>
          <w:i/>
          <w:color w:val="2F5496" w:themeColor="accent5" w:themeShade="BF"/>
          <w:sz w:val="24"/>
          <w:szCs w:val="24"/>
        </w:rPr>
      </w:pPr>
      <w:r>
        <w:rPr>
          <w:i/>
          <w:color w:val="2F5496" w:themeColor="accent5" w:themeShade="BF"/>
          <w:sz w:val="24"/>
          <w:szCs w:val="24"/>
        </w:rPr>
        <w:t xml:space="preserve">Izturība vismaz 50 gadus dabīgās gruntīs ar </w:t>
      </w:r>
      <w:proofErr w:type="spellStart"/>
      <w:r>
        <w:rPr>
          <w:i/>
          <w:color w:val="2F5496" w:themeColor="accent5" w:themeShade="BF"/>
          <w:sz w:val="24"/>
          <w:szCs w:val="24"/>
        </w:rPr>
        <w:t>pH</w:t>
      </w:r>
      <w:proofErr w:type="spellEnd"/>
      <w:r>
        <w:rPr>
          <w:i/>
          <w:color w:val="2F5496" w:themeColor="accent5" w:themeShade="BF"/>
          <w:sz w:val="24"/>
          <w:szCs w:val="24"/>
        </w:rPr>
        <w:t xml:space="preserve"> vērtību starp 4 un 9 grunts temperatūrā </w:t>
      </w:r>
      <w:r w:rsidRPr="00922D0D">
        <w:rPr>
          <w:i/>
          <w:color w:val="2F5496" w:themeColor="accent5" w:themeShade="BF"/>
          <w:sz w:val="24"/>
          <w:szCs w:val="24"/>
        </w:rPr>
        <w:t xml:space="preserve"> &lt; 25⸰C</w:t>
      </w:r>
      <w:r>
        <w:rPr>
          <w:i/>
          <w:color w:val="2F5496" w:themeColor="accent5" w:themeShade="BF"/>
          <w:sz w:val="24"/>
          <w:szCs w:val="24"/>
        </w:rPr>
        <w:t>.</w:t>
      </w:r>
    </w:p>
    <w:p w14:paraId="18ACF989" w14:textId="77777777" w:rsidR="00922D0D" w:rsidRPr="00464C49" w:rsidRDefault="00922D0D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4F8FFE78" w14:textId="77777777" w:rsidR="00464C49" w:rsidRPr="00464C49" w:rsidRDefault="00464C49" w:rsidP="00464C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72EBFCD8" w14:textId="77777777" w:rsidR="00922D0D" w:rsidRDefault="00464C49" w:rsidP="00922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2.skaidrojumi</w:t>
      </w:r>
    </w:p>
    <w:p w14:paraId="043FF1E3" w14:textId="2BB19F46" w:rsidR="005E154A" w:rsidRDefault="005E154A" w:rsidP="00922D0D">
      <w:pPr>
        <w:pStyle w:val="ListParagraph"/>
        <w:numPr>
          <w:ilvl w:val="0"/>
          <w:numId w:val="5"/>
        </w:numPr>
        <w:shd w:val="clear" w:color="auto" w:fill="FFFFFF"/>
        <w:rPr>
          <w:b/>
          <w:color w:val="000000"/>
          <w:sz w:val="24"/>
          <w:szCs w:val="24"/>
        </w:rPr>
      </w:pPr>
      <w:r w:rsidRPr="00922D0D">
        <w:rPr>
          <w:b/>
          <w:color w:val="000000"/>
          <w:sz w:val="24"/>
          <w:szCs w:val="24"/>
        </w:rPr>
        <w:t>Jautājums:</w:t>
      </w:r>
    </w:p>
    <w:p w14:paraId="62FE98F0" w14:textId="77777777" w:rsidR="00922D0D" w:rsidRPr="00922D0D" w:rsidRDefault="00922D0D" w:rsidP="00922D0D">
      <w:pPr>
        <w:pStyle w:val="ListParagraph"/>
        <w:shd w:val="clear" w:color="auto" w:fill="FFFFFF"/>
        <w:rPr>
          <w:b/>
          <w:color w:val="000000"/>
          <w:sz w:val="24"/>
          <w:szCs w:val="24"/>
        </w:rPr>
      </w:pPr>
    </w:p>
    <w:p w14:paraId="4430291E" w14:textId="6280DD80" w:rsidR="005E154A" w:rsidRDefault="005E154A" w:rsidP="005E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Konkursa nolikuma 8.pielikumā pievienotajos Būvdarbu apjomos ir atsauce uz konkrēta ražotāja izgatavotu būvizstrādājumu, proti,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ģeorežģis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Tensar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Triax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Papildus 1.pielikumā Tehniskajā specifikācija 4.1.punktā atbilstoši  Sabiedrisko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papkalpojumu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sniedzēju iepirkumu likuma 23.panta sestās daļas prasībām ir paredzētas piegādātāju tiesības piedāvāt ekvivalentu materiālu.</w:t>
      </w:r>
    </w:p>
    <w:p w14:paraId="4D878186" w14:textId="77777777" w:rsidR="005E154A" w:rsidRDefault="005E154A" w:rsidP="005E1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04BE5FF4" w14:textId="75726CA4" w:rsidR="005E154A" w:rsidRDefault="005E154A" w:rsidP="005E1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Piegādātājs lūdz Pasūtītāju apstiprināt, ka par ekvivalentu Konkursa dokumentācijā noteiktajam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ģeorežģim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Tensar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Triax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tiks atzīts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ekstrudēts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ģeorežģis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, kurš ražots atbilstoši standartam EN 13249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Ģeotekstilmateriāli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un tiem radniecīgi izstrādājumi. Nepieciešamie raksturojumi to lietošanai ceļu un citu satiksmes platību būvniecībā (izņemot dzelzceļus un asfalta segumus)” un kurš atbildīs visiem zemākiem minētajiem parametriem:</w:t>
      </w:r>
    </w:p>
    <w:p w14:paraId="4BAE36A0" w14:textId="1204CBD8" w:rsidR="005E154A" w:rsidRDefault="005E154A" w:rsidP="005E154A">
      <w:pPr>
        <w:pStyle w:val="ListParagraph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Ģeorežģa</w:t>
      </w:r>
      <w:proofErr w:type="spellEnd"/>
      <w:r>
        <w:rPr>
          <w:color w:val="000000"/>
          <w:sz w:val="24"/>
          <w:szCs w:val="24"/>
        </w:rPr>
        <w:t xml:space="preserve"> funkcija saskaņā ar NE 13249 un Ceļu specifikācijām 2019 – </w:t>
      </w:r>
      <w:proofErr w:type="spellStart"/>
      <w:r>
        <w:rPr>
          <w:color w:val="000000"/>
          <w:sz w:val="24"/>
          <w:szCs w:val="24"/>
        </w:rPr>
        <w:t>Armēšana</w:t>
      </w:r>
      <w:proofErr w:type="spellEnd"/>
      <w:r>
        <w:rPr>
          <w:color w:val="000000"/>
          <w:sz w:val="24"/>
          <w:szCs w:val="24"/>
        </w:rPr>
        <w:t>;</w:t>
      </w:r>
    </w:p>
    <w:p w14:paraId="5D0CD36A" w14:textId="48E7E800" w:rsidR="005E154A" w:rsidRDefault="005E154A" w:rsidP="005E154A">
      <w:pPr>
        <w:pStyle w:val="ListParagraph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Stiepes stiprība pēc NE 10319 ≥ 20kN/m;</w:t>
      </w:r>
    </w:p>
    <w:p w14:paraId="3ACF9730" w14:textId="6C56F595" w:rsidR="005E154A" w:rsidRDefault="005E154A" w:rsidP="005E154A">
      <w:pPr>
        <w:pStyle w:val="ListParagraph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Pagarinājums pie maksimālās slodzes pēc NE 10319 ≤11%;</w:t>
      </w:r>
    </w:p>
    <w:p w14:paraId="6E9BDC15" w14:textId="34F9DF68" w:rsidR="005E154A" w:rsidRDefault="005E154A" w:rsidP="005E154A">
      <w:pPr>
        <w:pStyle w:val="ListParagraph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Izturība vismaz 50 gadus dabīgās gruntīs ar </w:t>
      </w:r>
      <w:proofErr w:type="spellStart"/>
      <w:r>
        <w:rPr>
          <w:color w:val="000000"/>
          <w:sz w:val="24"/>
          <w:szCs w:val="24"/>
        </w:rPr>
        <w:t>pH</w:t>
      </w:r>
      <w:proofErr w:type="spellEnd"/>
      <w:r>
        <w:rPr>
          <w:color w:val="000000"/>
          <w:sz w:val="24"/>
          <w:szCs w:val="24"/>
        </w:rPr>
        <w:t xml:space="preserve"> vērtību starp 4 un 9 grunts temperatūrā &lt; 25</w:t>
      </w:r>
      <w:r w:rsidRPr="00FE6D34">
        <w:rPr>
          <w:color w:val="000000"/>
          <w:sz w:val="28"/>
          <w:szCs w:val="28"/>
          <w:vertAlign w:val="superscript"/>
        </w:rPr>
        <w:t>⸰</w:t>
      </w:r>
      <w:r w:rsidR="00FE6D34">
        <w:rPr>
          <w:color w:val="000000"/>
          <w:sz w:val="24"/>
          <w:szCs w:val="24"/>
        </w:rPr>
        <w:t>C.</w:t>
      </w:r>
    </w:p>
    <w:p w14:paraId="0BF1D2F2" w14:textId="77777777" w:rsidR="00FE6D34" w:rsidRPr="00FE6D34" w:rsidRDefault="00FE6D34" w:rsidP="00FE6D34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45266" w14:textId="5CCBA7D1" w:rsidR="00FE6D34" w:rsidRPr="008F788F" w:rsidRDefault="00FE6D34" w:rsidP="00A10F8A">
      <w:pPr>
        <w:shd w:val="clear" w:color="auto" w:fill="FFFFFF"/>
        <w:ind w:firstLine="360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</w:rPr>
      </w:pPr>
      <w:proofErr w:type="spellStart"/>
      <w:r w:rsidRPr="008F788F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</w:rPr>
        <w:t>Atbilde</w:t>
      </w:r>
      <w:proofErr w:type="spellEnd"/>
      <w:r w:rsidRPr="008F788F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</w:rPr>
        <w:t>:</w:t>
      </w:r>
    </w:p>
    <w:p w14:paraId="5C3E1038" w14:textId="6AC534F8" w:rsidR="00922D0D" w:rsidRDefault="00922D0D" w:rsidP="00A10F8A">
      <w:pPr>
        <w:shd w:val="clear" w:color="auto" w:fill="FFFFFF"/>
        <w:ind w:firstLine="360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ekvivalentu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iepirkuma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dokumentācijā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norādītajam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ģeorežģim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Tensar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Triax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atzīts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ekstrudēts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ģeorežģis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kurš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ražots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atbilstoši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standartam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EN 4657 “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Ģeotekstilmateriāli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tiem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radniecīgi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izstrādājumi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zemāk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minētajiem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parametriem</w:t>
      </w:r>
      <w:proofErr w:type="spellEnd"/>
      <w:r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:</w:t>
      </w:r>
    </w:p>
    <w:p w14:paraId="1680EB07" w14:textId="1AD42554" w:rsidR="00922D0D" w:rsidRDefault="00922D0D" w:rsidP="00A10F8A">
      <w:pPr>
        <w:pStyle w:val="ListParagraph"/>
        <w:numPr>
          <w:ilvl w:val="0"/>
          <w:numId w:val="6"/>
        </w:numPr>
        <w:shd w:val="clear" w:color="auto" w:fill="FFFFFF"/>
        <w:jc w:val="both"/>
        <w:rPr>
          <w:i/>
          <w:color w:val="2F5496" w:themeColor="accent5" w:themeShade="BF"/>
          <w:sz w:val="24"/>
          <w:szCs w:val="24"/>
        </w:rPr>
      </w:pPr>
      <w:proofErr w:type="spellStart"/>
      <w:r>
        <w:rPr>
          <w:i/>
          <w:color w:val="2F5496" w:themeColor="accent5" w:themeShade="BF"/>
          <w:sz w:val="24"/>
          <w:szCs w:val="24"/>
        </w:rPr>
        <w:t>Ģeorežģa</w:t>
      </w:r>
      <w:proofErr w:type="spellEnd"/>
      <w:r>
        <w:rPr>
          <w:i/>
          <w:color w:val="2F5496" w:themeColor="accent5" w:themeShade="BF"/>
          <w:sz w:val="24"/>
          <w:szCs w:val="24"/>
        </w:rPr>
        <w:t xml:space="preserve"> funkcija saskaņā ar NE 13249 un Ceļu specifikācijām 2019 – ARMĒŠANA;</w:t>
      </w:r>
    </w:p>
    <w:p w14:paraId="57A8D7D6" w14:textId="75A65C45" w:rsidR="00922D0D" w:rsidRDefault="00922D0D" w:rsidP="00A10F8A">
      <w:pPr>
        <w:pStyle w:val="ListParagraph"/>
        <w:numPr>
          <w:ilvl w:val="0"/>
          <w:numId w:val="6"/>
        </w:numPr>
        <w:shd w:val="clear" w:color="auto" w:fill="FFFFFF"/>
        <w:jc w:val="both"/>
        <w:rPr>
          <w:i/>
          <w:color w:val="2F5496" w:themeColor="accent5" w:themeShade="BF"/>
          <w:sz w:val="24"/>
          <w:szCs w:val="24"/>
        </w:rPr>
      </w:pPr>
      <w:r>
        <w:rPr>
          <w:i/>
          <w:color w:val="2F5496" w:themeColor="accent5" w:themeShade="BF"/>
          <w:sz w:val="24"/>
          <w:szCs w:val="24"/>
        </w:rPr>
        <w:t xml:space="preserve">Stiepes garums pēc NE 10319 ≥ 40 </w:t>
      </w:r>
      <w:proofErr w:type="spellStart"/>
      <w:r>
        <w:rPr>
          <w:i/>
          <w:color w:val="2F5496" w:themeColor="accent5" w:themeShade="BF"/>
          <w:sz w:val="24"/>
          <w:szCs w:val="24"/>
        </w:rPr>
        <w:t>kN</w:t>
      </w:r>
      <w:proofErr w:type="spellEnd"/>
      <w:r>
        <w:rPr>
          <w:i/>
          <w:color w:val="2F5496" w:themeColor="accent5" w:themeShade="BF"/>
          <w:sz w:val="24"/>
          <w:szCs w:val="24"/>
        </w:rPr>
        <w:t>/m;</w:t>
      </w:r>
    </w:p>
    <w:p w14:paraId="6D83D59A" w14:textId="674724D7" w:rsidR="00922D0D" w:rsidRDefault="00922D0D" w:rsidP="00A10F8A">
      <w:pPr>
        <w:pStyle w:val="ListParagraph"/>
        <w:numPr>
          <w:ilvl w:val="0"/>
          <w:numId w:val="6"/>
        </w:numPr>
        <w:shd w:val="clear" w:color="auto" w:fill="FFFFFF"/>
        <w:jc w:val="both"/>
        <w:rPr>
          <w:i/>
          <w:color w:val="2F5496" w:themeColor="accent5" w:themeShade="BF"/>
          <w:sz w:val="24"/>
          <w:szCs w:val="24"/>
        </w:rPr>
      </w:pPr>
      <w:r>
        <w:rPr>
          <w:i/>
          <w:color w:val="2F5496" w:themeColor="accent5" w:themeShade="BF"/>
          <w:sz w:val="24"/>
          <w:szCs w:val="24"/>
        </w:rPr>
        <w:t>Pagarinājums pie maksimālās slodzes pēc NE 10319≤11%;</w:t>
      </w:r>
    </w:p>
    <w:p w14:paraId="7A353BE1" w14:textId="2A0A1D59" w:rsidR="00922D0D" w:rsidRPr="00922D0D" w:rsidRDefault="00922D0D" w:rsidP="00A10F8A">
      <w:pPr>
        <w:pStyle w:val="ListParagraph"/>
        <w:numPr>
          <w:ilvl w:val="0"/>
          <w:numId w:val="6"/>
        </w:numPr>
        <w:shd w:val="clear" w:color="auto" w:fill="FFFFFF"/>
        <w:jc w:val="both"/>
        <w:rPr>
          <w:i/>
          <w:color w:val="2F5496" w:themeColor="accent5" w:themeShade="BF"/>
          <w:sz w:val="24"/>
          <w:szCs w:val="24"/>
        </w:rPr>
      </w:pPr>
      <w:r>
        <w:rPr>
          <w:i/>
          <w:color w:val="2F5496" w:themeColor="accent5" w:themeShade="BF"/>
          <w:sz w:val="24"/>
          <w:szCs w:val="24"/>
        </w:rPr>
        <w:t xml:space="preserve">Izturība vismaz 50 gadus dabīgās gruntīs ar </w:t>
      </w:r>
      <w:proofErr w:type="spellStart"/>
      <w:r>
        <w:rPr>
          <w:i/>
          <w:color w:val="2F5496" w:themeColor="accent5" w:themeShade="BF"/>
          <w:sz w:val="24"/>
          <w:szCs w:val="24"/>
        </w:rPr>
        <w:t>pH</w:t>
      </w:r>
      <w:proofErr w:type="spellEnd"/>
      <w:r>
        <w:rPr>
          <w:i/>
          <w:color w:val="2F5496" w:themeColor="accent5" w:themeShade="BF"/>
          <w:sz w:val="24"/>
          <w:szCs w:val="24"/>
        </w:rPr>
        <w:t xml:space="preserve"> vērtību starp 4 un 9 grunts temperatūrā </w:t>
      </w:r>
      <w:r w:rsidRPr="00922D0D">
        <w:rPr>
          <w:i/>
          <w:color w:val="2F5496" w:themeColor="accent5" w:themeShade="BF"/>
          <w:sz w:val="24"/>
          <w:szCs w:val="24"/>
        </w:rPr>
        <w:t xml:space="preserve"> &lt; 25⸰C</w:t>
      </w:r>
      <w:r>
        <w:rPr>
          <w:i/>
          <w:color w:val="2F5496" w:themeColor="accent5" w:themeShade="BF"/>
          <w:sz w:val="24"/>
          <w:szCs w:val="24"/>
        </w:rPr>
        <w:t>.</w:t>
      </w:r>
    </w:p>
    <w:sectPr w:rsidR="00922D0D" w:rsidRPr="00922D0D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C3FEA"/>
    <w:rsid w:val="0017348A"/>
    <w:rsid w:val="001C134C"/>
    <w:rsid w:val="002515AC"/>
    <w:rsid w:val="0025271D"/>
    <w:rsid w:val="00276E21"/>
    <w:rsid w:val="004540EF"/>
    <w:rsid w:val="00464C49"/>
    <w:rsid w:val="00531223"/>
    <w:rsid w:val="005E154A"/>
    <w:rsid w:val="00723B22"/>
    <w:rsid w:val="007C4022"/>
    <w:rsid w:val="00803AC9"/>
    <w:rsid w:val="008F788F"/>
    <w:rsid w:val="00922D0D"/>
    <w:rsid w:val="00990D28"/>
    <w:rsid w:val="009A3E71"/>
    <w:rsid w:val="00A10F8A"/>
    <w:rsid w:val="00A866D3"/>
    <w:rsid w:val="00B37AB8"/>
    <w:rsid w:val="00BA2986"/>
    <w:rsid w:val="00BF04C7"/>
    <w:rsid w:val="00C15FCF"/>
    <w:rsid w:val="00CE3665"/>
    <w:rsid w:val="00FB24D5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15</cp:revision>
  <cp:lastPrinted>2021-02-15T09:23:00Z</cp:lastPrinted>
  <dcterms:created xsi:type="dcterms:W3CDTF">2020-12-01T07:31:00Z</dcterms:created>
  <dcterms:modified xsi:type="dcterms:W3CDTF">2021-02-15T09:23:00Z</dcterms:modified>
</cp:coreProperties>
</file>