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7CE005D4"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D93755" w:rsidRPr="00150241">
        <w:rPr>
          <w:rFonts w:ascii="Times New Roman" w:eastAsia="Times New Roman" w:hAnsi="Times New Roman" w:cs="Times New Roman"/>
          <w:color w:val="000000"/>
          <w:sz w:val="24"/>
          <w:szCs w:val="24"/>
        </w:rPr>
        <w:t xml:space="preserve"> </w:t>
      </w:r>
      <w:r w:rsidR="00BE4D83">
        <w:rPr>
          <w:rFonts w:ascii="Times New Roman" w:eastAsia="Times New Roman" w:hAnsi="Times New Roman" w:cs="Times New Roman"/>
          <w:color w:val="000000"/>
          <w:sz w:val="24"/>
          <w:szCs w:val="24"/>
        </w:rPr>
        <w:t>25</w:t>
      </w:r>
      <w:r w:rsidR="00195B3F">
        <w:rPr>
          <w:rFonts w:ascii="Times New Roman" w:eastAsia="Times New Roman" w:hAnsi="Times New Roman" w:cs="Times New Roman"/>
          <w:color w:val="000000"/>
          <w:sz w:val="24"/>
          <w:szCs w:val="24"/>
        </w:rPr>
        <w:t>.maija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6688B70A" w:rsidR="00E75D9B" w:rsidRPr="00150241" w:rsidRDefault="00E75D9B" w:rsidP="00E75D9B">
      <w:pPr>
        <w:pStyle w:val="BlockText"/>
        <w:ind w:left="142"/>
        <w:jc w:val="center"/>
        <w:rPr>
          <w:b/>
          <w:bCs/>
          <w:sz w:val="48"/>
          <w:szCs w:val="48"/>
        </w:rPr>
      </w:pPr>
      <w:r w:rsidRPr="00150241">
        <w:rPr>
          <w:b/>
          <w:sz w:val="48"/>
          <w:szCs w:val="48"/>
        </w:rPr>
        <w:t>“</w:t>
      </w:r>
      <w:r w:rsidR="00195B3F">
        <w:rPr>
          <w:b/>
          <w:sz w:val="48"/>
          <w:szCs w:val="48"/>
        </w:rPr>
        <w:t>Motoreļļas</w:t>
      </w:r>
      <w:r w:rsidR="00200224" w:rsidRPr="00150241">
        <w:rPr>
          <w:b/>
          <w:sz w:val="48"/>
          <w:szCs w:val="48"/>
        </w:rPr>
        <w:t xml:space="preserve"> piegāde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13BE08D3"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195B3F">
        <w:rPr>
          <w:rFonts w:ascii="Times New Roman" w:hAnsi="Times New Roman" w:cs="Times New Roman"/>
          <w:b/>
          <w:sz w:val="36"/>
          <w:szCs w:val="48"/>
        </w:rPr>
        <w:t>51</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647C14FE" w14:textId="77777777" w:rsidR="006B1917" w:rsidRDefault="00E75D9B">
      <w:pPr>
        <w:pStyle w:val="TOC1"/>
        <w:rPr>
          <w:rFonts w:asciiTheme="minorHAnsi" w:eastAsiaTheme="minorEastAsia" w:hAnsiTheme="minorHAnsi" w:cstheme="minorBidi"/>
          <w:noProof/>
          <w:sz w:val="22"/>
          <w:szCs w:val="22"/>
          <w:lang w:val="en-US" w:eastAsia="en-US"/>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72754202" w:history="1">
        <w:r w:rsidR="006B1917" w:rsidRPr="006069DE">
          <w:rPr>
            <w:rStyle w:val="Hyperlink"/>
            <w:noProof/>
          </w:rPr>
          <w:t>1.</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VISPĀRĪGA INFORMĀCIJA</w:t>
        </w:r>
        <w:r w:rsidR="006B1917">
          <w:rPr>
            <w:noProof/>
            <w:webHidden/>
          </w:rPr>
          <w:tab/>
        </w:r>
        <w:r w:rsidR="006B1917">
          <w:rPr>
            <w:noProof/>
            <w:webHidden/>
          </w:rPr>
          <w:fldChar w:fldCharType="begin"/>
        </w:r>
        <w:r w:rsidR="006B1917">
          <w:rPr>
            <w:noProof/>
            <w:webHidden/>
          </w:rPr>
          <w:instrText xml:space="preserve"> PAGEREF _Toc72754202 \h </w:instrText>
        </w:r>
        <w:r w:rsidR="006B1917">
          <w:rPr>
            <w:noProof/>
            <w:webHidden/>
          </w:rPr>
        </w:r>
        <w:r w:rsidR="006B1917">
          <w:rPr>
            <w:noProof/>
            <w:webHidden/>
          </w:rPr>
          <w:fldChar w:fldCharType="separate"/>
        </w:r>
        <w:r w:rsidR="006B1917">
          <w:rPr>
            <w:noProof/>
            <w:webHidden/>
          </w:rPr>
          <w:t>3</w:t>
        </w:r>
        <w:r w:rsidR="006B1917">
          <w:rPr>
            <w:noProof/>
            <w:webHidden/>
          </w:rPr>
          <w:fldChar w:fldCharType="end"/>
        </w:r>
      </w:hyperlink>
    </w:p>
    <w:p w14:paraId="073E4E43" w14:textId="77777777" w:rsidR="006B1917" w:rsidRDefault="000C5B15">
      <w:pPr>
        <w:pStyle w:val="TOC1"/>
        <w:rPr>
          <w:rFonts w:asciiTheme="minorHAnsi" w:eastAsiaTheme="minorEastAsia" w:hAnsiTheme="minorHAnsi" w:cstheme="minorBidi"/>
          <w:noProof/>
          <w:sz w:val="22"/>
          <w:szCs w:val="22"/>
          <w:lang w:val="en-US" w:eastAsia="en-US"/>
        </w:rPr>
      </w:pPr>
      <w:hyperlink w:anchor="_Toc72754203" w:history="1">
        <w:r w:rsidR="006B1917" w:rsidRPr="006069DE">
          <w:rPr>
            <w:rStyle w:val="Hyperlink"/>
            <w:bCs/>
            <w:noProof/>
          </w:rPr>
          <w:t>2.</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INFORMĀCIJA PAR IEPIRKUMA PRIEKŠMETU</w:t>
        </w:r>
        <w:r w:rsidR="006B1917">
          <w:rPr>
            <w:noProof/>
            <w:webHidden/>
          </w:rPr>
          <w:tab/>
        </w:r>
        <w:r w:rsidR="006B1917">
          <w:rPr>
            <w:noProof/>
            <w:webHidden/>
          </w:rPr>
          <w:fldChar w:fldCharType="begin"/>
        </w:r>
        <w:r w:rsidR="006B1917">
          <w:rPr>
            <w:noProof/>
            <w:webHidden/>
          </w:rPr>
          <w:instrText xml:space="preserve"> PAGEREF _Toc72754203 \h </w:instrText>
        </w:r>
        <w:r w:rsidR="006B1917">
          <w:rPr>
            <w:noProof/>
            <w:webHidden/>
          </w:rPr>
        </w:r>
        <w:r w:rsidR="006B1917">
          <w:rPr>
            <w:noProof/>
            <w:webHidden/>
          </w:rPr>
          <w:fldChar w:fldCharType="separate"/>
        </w:r>
        <w:r w:rsidR="006B1917">
          <w:rPr>
            <w:noProof/>
            <w:webHidden/>
          </w:rPr>
          <w:t>3</w:t>
        </w:r>
        <w:r w:rsidR="006B1917">
          <w:rPr>
            <w:noProof/>
            <w:webHidden/>
          </w:rPr>
          <w:fldChar w:fldCharType="end"/>
        </w:r>
      </w:hyperlink>
    </w:p>
    <w:p w14:paraId="7C4D08B9" w14:textId="77777777" w:rsidR="006B1917" w:rsidRDefault="000C5B15">
      <w:pPr>
        <w:pStyle w:val="TOC1"/>
        <w:rPr>
          <w:rFonts w:asciiTheme="minorHAnsi" w:eastAsiaTheme="minorEastAsia" w:hAnsiTheme="minorHAnsi" w:cstheme="minorBidi"/>
          <w:noProof/>
          <w:sz w:val="22"/>
          <w:szCs w:val="22"/>
          <w:lang w:val="en-US" w:eastAsia="en-US"/>
        </w:rPr>
      </w:pPr>
      <w:hyperlink w:anchor="_Toc72754204" w:history="1">
        <w:r w:rsidR="006B1917" w:rsidRPr="006069DE">
          <w:rPr>
            <w:rStyle w:val="Hyperlink"/>
            <w:noProof/>
          </w:rPr>
          <w:t>3.</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IEPIRKUMA PROCEDŪRAS DOKUMENTI</w:t>
        </w:r>
        <w:r w:rsidR="006B1917">
          <w:rPr>
            <w:noProof/>
            <w:webHidden/>
          </w:rPr>
          <w:tab/>
        </w:r>
        <w:r w:rsidR="006B1917">
          <w:rPr>
            <w:noProof/>
            <w:webHidden/>
          </w:rPr>
          <w:fldChar w:fldCharType="begin"/>
        </w:r>
        <w:r w:rsidR="006B1917">
          <w:rPr>
            <w:noProof/>
            <w:webHidden/>
          </w:rPr>
          <w:instrText xml:space="preserve"> PAGEREF _Toc72754204 \h </w:instrText>
        </w:r>
        <w:r w:rsidR="006B1917">
          <w:rPr>
            <w:noProof/>
            <w:webHidden/>
          </w:rPr>
        </w:r>
        <w:r w:rsidR="006B1917">
          <w:rPr>
            <w:noProof/>
            <w:webHidden/>
          </w:rPr>
          <w:fldChar w:fldCharType="separate"/>
        </w:r>
        <w:r w:rsidR="006B1917">
          <w:rPr>
            <w:noProof/>
            <w:webHidden/>
          </w:rPr>
          <w:t>4</w:t>
        </w:r>
        <w:r w:rsidR="006B1917">
          <w:rPr>
            <w:noProof/>
            <w:webHidden/>
          </w:rPr>
          <w:fldChar w:fldCharType="end"/>
        </w:r>
      </w:hyperlink>
    </w:p>
    <w:p w14:paraId="32549DBD" w14:textId="77777777" w:rsidR="006B1917" w:rsidRDefault="000C5B15">
      <w:pPr>
        <w:pStyle w:val="TOC1"/>
        <w:rPr>
          <w:rFonts w:asciiTheme="minorHAnsi" w:eastAsiaTheme="minorEastAsia" w:hAnsiTheme="minorHAnsi" w:cstheme="minorBidi"/>
          <w:noProof/>
          <w:sz w:val="22"/>
          <w:szCs w:val="22"/>
          <w:lang w:val="en-US" w:eastAsia="en-US"/>
        </w:rPr>
      </w:pPr>
      <w:hyperlink w:anchor="_Toc72754205" w:history="1">
        <w:r w:rsidR="006B1917" w:rsidRPr="006069DE">
          <w:rPr>
            <w:rStyle w:val="Hyperlink"/>
            <w:noProof/>
          </w:rPr>
          <w:t>4.</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DALĪBAS NOSACĪJUMI IEPIRKUMA PROCEDŪRĀ</w:t>
        </w:r>
        <w:r w:rsidR="006B1917">
          <w:rPr>
            <w:noProof/>
            <w:webHidden/>
          </w:rPr>
          <w:tab/>
        </w:r>
        <w:r w:rsidR="006B1917">
          <w:rPr>
            <w:noProof/>
            <w:webHidden/>
          </w:rPr>
          <w:fldChar w:fldCharType="begin"/>
        </w:r>
        <w:r w:rsidR="006B1917">
          <w:rPr>
            <w:noProof/>
            <w:webHidden/>
          </w:rPr>
          <w:instrText xml:space="preserve"> PAGEREF _Toc72754205 \h </w:instrText>
        </w:r>
        <w:r w:rsidR="006B1917">
          <w:rPr>
            <w:noProof/>
            <w:webHidden/>
          </w:rPr>
        </w:r>
        <w:r w:rsidR="006B1917">
          <w:rPr>
            <w:noProof/>
            <w:webHidden/>
          </w:rPr>
          <w:fldChar w:fldCharType="separate"/>
        </w:r>
        <w:r w:rsidR="006B1917">
          <w:rPr>
            <w:noProof/>
            <w:webHidden/>
          </w:rPr>
          <w:t>4</w:t>
        </w:r>
        <w:r w:rsidR="006B1917">
          <w:rPr>
            <w:noProof/>
            <w:webHidden/>
          </w:rPr>
          <w:fldChar w:fldCharType="end"/>
        </w:r>
      </w:hyperlink>
    </w:p>
    <w:p w14:paraId="7334314D" w14:textId="77777777" w:rsidR="006B1917" w:rsidRDefault="000C5B15">
      <w:pPr>
        <w:pStyle w:val="TOC1"/>
        <w:rPr>
          <w:rFonts w:asciiTheme="minorHAnsi" w:eastAsiaTheme="minorEastAsia" w:hAnsiTheme="minorHAnsi" w:cstheme="minorBidi"/>
          <w:noProof/>
          <w:sz w:val="22"/>
          <w:szCs w:val="22"/>
          <w:lang w:val="en-US" w:eastAsia="en-US"/>
        </w:rPr>
      </w:pPr>
      <w:hyperlink w:anchor="_Toc72754206" w:history="1">
        <w:r w:rsidR="006B1917" w:rsidRPr="006069DE">
          <w:rPr>
            <w:rStyle w:val="Hyperlink"/>
            <w:noProof/>
          </w:rPr>
          <w:t>5.</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IESNIEDZAMIE DOKUMENTI:</w:t>
        </w:r>
        <w:r w:rsidR="006B1917">
          <w:rPr>
            <w:noProof/>
            <w:webHidden/>
          </w:rPr>
          <w:tab/>
        </w:r>
        <w:r w:rsidR="006B1917">
          <w:rPr>
            <w:noProof/>
            <w:webHidden/>
          </w:rPr>
          <w:fldChar w:fldCharType="begin"/>
        </w:r>
        <w:r w:rsidR="006B1917">
          <w:rPr>
            <w:noProof/>
            <w:webHidden/>
          </w:rPr>
          <w:instrText xml:space="preserve"> PAGEREF _Toc72754206 \h </w:instrText>
        </w:r>
        <w:r w:rsidR="006B1917">
          <w:rPr>
            <w:noProof/>
            <w:webHidden/>
          </w:rPr>
        </w:r>
        <w:r w:rsidR="006B1917">
          <w:rPr>
            <w:noProof/>
            <w:webHidden/>
          </w:rPr>
          <w:fldChar w:fldCharType="separate"/>
        </w:r>
        <w:r w:rsidR="006B1917">
          <w:rPr>
            <w:noProof/>
            <w:webHidden/>
          </w:rPr>
          <w:t>5</w:t>
        </w:r>
        <w:r w:rsidR="006B1917">
          <w:rPr>
            <w:noProof/>
            <w:webHidden/>
          </w:rPr>
          <w:fldChar w:fldCharType="end"/>
        </w:r>
      </w:hyperlink>
    </w:p>
    <w:p w14:paraId="3454486A" w14:textId="77777777" w:rsidR="006B1917" w:rsidRDefault="000C5B15">
      <w:pPr>
        <w:pStyle w:val="TOC1"/>
        <w:rPr>
          <w:rFonts w:asciiTheme="minorHAnsi" w:eastAsiaTheme="minorEastAsia" w:hAnsiTheme="minorHAnsi" w:cstheme="minorBidi"/>
          <w:noProof/>
          <w:sz w:val="22"/>
          <w:szCs w:val="22"/>
          <w:lang w:val="en-US" w:eastAsia="en-US"/>
        </w:rPr>
      </w:pPr>
      <w:hyperlink w:anchor="_Toc72754207" w:history="1">
        <w:r w:rsidR="006B1917" w:rsidRPr="006069DE">
          <w:rPr>
            <w:rStyle w:val="Hyperlink"/>
            <w:noProof/>
          </w:rPr>
          <w:t>6.</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PRETENDENTU KVALIFIKĀCIJAS PRASĪBAS / DALĪBAS NOSACĪJUMI UN ATLASES DOKUMENTI</w:t>
        </w:r>
        <w:r w:rsidR="006B1917">
          <w:rPr>
            <w:noProof/>
            <w:webHidden/>
          </w:rPr>
          <w:tab/>
        </w:r>
        <w:r w:rsidR="006B1917">
          <w:rPr>
            <w:noProof/>
            <w:webHidden/>
          </w:rPr>
          <w:fldChar w:fldCharType="begin"/>
        </w:r>
        <w:r w:rsidR="006B1917">
          <w:rPr>
            <w:noProof/>
            <w:webHidden/>
          </w:rPr>
          <w:instrText xml:space="preserve"> PAGEREF _Toc72754207 \h </w:instrText>
        </w:r>
        <w:r w:rsidR="006B1917">
          <w:rPr>
            <w:noProof/>
            <w:webHidden/>
          </w:rPr>
        </w:r>
        <w:r w:rsidR="006B1917">
          <w:rPr>
            <w:noProof/>
            <w:webHidden/>
          </w:rPr>
          <w:fldChar w:fldCharType="separate"/>
        </w:r>
        <w:r w:rsidR="006B1917">
          <w:rPr>
            <w:noProof/>
            <w:webHidden/>
          </w:rPr>
          <w:t>5</w:t>
        </w:r>
        <w:r w:rsidR="006B1917">
          <w:rPr>
            <w:noProof/>
            <w:webHidden/>
          </w:rPr>
          <w:fldChar w:fldCharType="end"/>
        </w:r>
      </w:hyperlink>
    </w:p>
    <w:p w14:paraId="206AE4A6" w14:textId="77777777" w:rsidR="006B1917" w:rsidRDefault="000C5B15">
      <w:pPr>
        <w:pStyle w:val="TOC1"/>
        <w:rPr>
          <w:rFonts w:asciiTheme="minorHAnsi" w:eastAsiaTheme="minorEastAsia" w:hAnsiTheme="minorHAnsi" w:cstheme="minorBidi"/>
          <w:noProof/>
          <w:sz w:val="22"/>
          <w:szCs w:val="22"/>
          <w:lang w:val="en-US" w:eastAsia="en-US"/>
        </w:rPr>
      </w:pPr>
      <w:hyperlink w:anchor="_Toc72754208" w:history="1">
        <w:r w:rsidR="006B1917" w:rsidRPr="006069DE">
          <w:rPr>
            <w:rStyle w:val="Hyperlink"/>
            <w:noProof/>
          </w:rPr>
          <w:t>7.</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TEHNISKAIS PIEDĀVĀJUMS UN FINANŠU PIEDĀVĀJUMS</w:t>
        </w:r>
        <w:r w:rsidR="006B1917">
          <w:rPr>
            <w:noProof/>
            <w:webHidden/>
          </w:rPr>
          <w:tab/>
        </w:r>
        <w:r w:rsidR="006B1917">
          <w:rPr>
            <w:noProof/>
            <w:webHidden/>
          </w:rPr>
          <w:fldChar w:fldCharType="begin"/>
        </w:r>
        <w:r w:rsidR="006B1917">
          <w:rPr>
            <w:noProof/>
            <w:webHidden/>
          </w:rPr>
          <w:instrText xml:space="preserve"> PAGEREF _Toc72754208 \h </w:instrText>
        </w:r>
        <w:r w:rsidR="006B1917">
          <w:rPr>
            <w:noProof/>
            <w:webHidden/>
          </w:rPr>
        </w:r>
        <w:r w:rsidR="006B1917">
          <w:rPr>
            <w:noProof/>
            <w:webHidden/>
          </w:rPr>
          <w:fldChar w:fldCharType="separate"/>
        </w:r>
        <w:r w:rsidR="006B1917">
          <w:rPr>
            <w:noProof/>
            <w:webHidden/>
          </w:rPr>
          <w:t>8</w:t>
        </w:r>
        <w:r w:rsidR="006B1917">
          <w:rPr>
            <w:noProof/>
            <w:webHidden/>
          </w:rPr>
          <w:fldChar w:fldCharType="end"/>
        </w:r>
      </w:hyperlink>
    </w:p>
    <w:p w14:paraId="3FD27B7D" w14:textId="77777777" w:rsidR="006B1917" w:rsidRDefault="000C5B15">
      <w:pPr>
        <w:pStyle w:val="TOC1"/>
        <w:rPr>
          <w:rFonts w:asciiTheme="minorHAnsi" w:eastAsiaTheme="minorEastAsia" w:hAnsiTheme="minorHAnsi" w:cstheme="minorBidi"/>
          <w:noProof/>
          <w:sz w:val="22"/>
          <w:szCs w:val="22"/>
          <w:lang w:val="en-US" w:eastAsia="en-US"/>
        </w:rPr>
      </w:pPr>
      <w:hyperlink w:anchor="_Toc72754209" w:history="1">
        <w:r w:rsidR="006B1917" w:rsidRPr="006069DE">
          <w:rPr>
            <w:rStyle w:val="Hyperlink"/>
            <w:noProof/>
          </w:rPr>
          <w:t>8.</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PIEDĀVĀJUMA SAGATAVOŠANA UN NOFORMĒŠANA</w:t>
        </w:r>
        <w:r w:rsidR="006B1917">
          <w:rPr>
            <w:noProof/>
            <w:webHidden/>
          </w:rPr>
          <w:tab/>
        </w:r>
        <w:r w:rsidR="006B1917">
          <w:rPr>
            <w:noProof/>
            <w:webHidden/>
          </w:rPr>
          <w:fldChar w:fldCharType="begin"/>
        </w:r>
        <w:r w:rsidR="006B1917">
          <w:rPr>
            <w:noProof/>
            <w:webHidden/>
          </w:rPr>
          <w:instrText xml:space="preserve"> PAGEREF _Toc72754209 \h </w:instrText>
        </w:r>
        <w:r w:rsidR="006B1917">
          <w:rPr>
            <w:noProof/>
            <w:webHidden/>
          </w:rPr>
        </w:r>
        <w:r w:rsidR="006B1917">
          <w:rPr>
            <w:noProof/>
            <w:webHidden/>
          </w:rPr>
          <w:fldChar w:fldCharType="separate"/>
        </w:r>
        <w:r w:rsidR="006B1917">
          <w:rPr>
            <w:noProof/>
            <w:webHidden/>
          </w:rPr>
          <w:t>8</w:t>
        </w:r>
        <w:r w:rsidR="006B1917">
          <w:rPr>
            <w:noProof/>
            <w:webHidden/>
          </w:rPr>
          <w:fldChar w:fldCharType="end"/>
        </w:r>
      </w:hyperlink>
    </w:p>
    <w:p w14:paraId="08D83352" w14:textId="77777777" w:rsidR="006B1917" w:rsidRDefault="000C5B15">
      <w:pPr>
        <w:pStyle w:val="TOC1"/>
        <w:rPr>
          <w:rFonts w:asciiTheme="minorHAnsi" w:eastAsiaTheme="minorEastAsia" w:hAnsiTheme="minorHAnsi" w:cstheme="minorBidi"/>
          <w:noProof/>
          <w:sz w:val="22"/>
          <w:szCs w:val="22"/>
          <w:lang w:val="en-US" w:eastAsia="en-US"/>
        </w:rPr>
      </w:pPr>
      <w:hyperlink w:anchor="_Toc72754210" w:history="1">
        <w:r w:rsidR="006B1917" w:rsidRPr="006069DE">
          <w:rPr>
            <w:rStyle w:val="Hyperlink"/>
            <w:noProof/>
          </w:rPr>
          <w:t>9.</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PIEDĀVĀJUMA IESNIEGŠANA UN ATVĒRŠANA</w:t>
        </w:r>
        <w:r w:rsidR="006B1917">
          <w:rPr>
            <w:noProof/>
            <w:webHidden/>
          </w:rPr>
          <w:tab/>
        </w:r>
        <w:r w:rsidR="006B1917">
          <w:rPr>
            <w:noProof/>
            <w:webHidden/>
          </w:rPr>
          <w:fldChar w:fldCharType="begin"/>
        </w:r>
        <w:r w:rsidR="006B1917">
          <w:rPr>
            <w:noProof/>
            <w:webHidden/>
          </w:rPr>
          <w:instrText xml:space="preserve"> PAGEREF _Toc72754210 \h </w:instrText>
        </w:r>
        <w:r w:rsidR="006B1917">
          <w:rPr>
            <w:noProof/>
            <w:webHidden/>
          </w:rPr>
        </w:r>
        <w:r w:rsidR="006B1917">
          <w:rPr>
            <w:noProof/>
            <w:webHidden/>
          </w:rPr>
          <w:fldChar w:fldCharType="separate"/>
        </w:r>
        <w:r w:rsidR="006B1917">
          <w:rPr>
            <w:noProof/>
            <w:webHidden/>
          </w:rPr>
          <w:t>10</w:t>
        </w:r>
        <w:r w:rsidR="006B1917">
          <w:rPr>
            <w:noProof/>
            <w:webHidden/>
          </w:rPr>
          <w:fldChar w:fldCharType="end"/>
        </w:r>
      </w:hyperlink>
    </w:p>
    <w:p w14:paraId="69357A26" w14:textId="77777777" w:rsidR="006B1917" w:rsidRDefault="000C5B15">
      <w:pPr>
        <w:pStyle w:val="TOC1"/>
        <w:rPr>
          <w:rFonts w:asciiTheme="minorHAnsi" w:eastAsiaTheme="minorEastAsia" w:hAnsiTheme="minorHAnsi" w:cstheme="minorBidi"/>
          <w:noProof/>
          <w:sz w:val="22"/>
          <w:szCs w:val="22"/>
          <w:lang w:val="en-US" w:eastAsia="en-US"/>
        </w:rPr>
      </w:pPr>
      <w:hyperlink w:anchor="_Toc72754211" w:history="1">
        <w:r w:rsidR="006B1917" w:rsidRPr="006069DE">
          <w:rPr>
            <w:rStyle w:val="Hyperlink"/>
            <w:noProof/>
          </w:rPr>
          <w:t>10.</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CITI NOTEIKUMI</w:t>
        </w:r>
        <w:r w:rsidR="006B1917">
          <w:rPr>
            <w:noProof/>
            <w:webHidden/>
          </w:rPr>
          <w:tab/>
        </w:r>
        <w:r w:rsidR="006B1917">
          <w:rPr>
            <w:noProof/>
            <w:webHidden/>
          </w:rPr>
          <w:fldChar w:fldCharType="begin"/>
        </w:r>
        <w:r w:rsidR="006B1917">
          <w:rPr>
            <w:noProof/>
            <w:webHidden/>
          </w:rPr>
          <w:instrText xml:space="preserve"> PAGEREF _Toc72754211 \h </w:instrText>
        </w:r>
        <w:r w:rsidR="006B1917">
          <w:rPr>
            <w:noProof/>
            <w:webHidden/>
          </w:rPr>
        </w:r>
        <w:r w:rsidR="006B1917">
          <w:rPr>
            <w:noProof/>
            <w:webHidden/>
          </w:rPr>
          <w:fldChar w:fldCharType="separate"/>
        </w:r>
        <w:r w:rsidR="006B1917">
          <w:rPr>
            <w:noProof/>
            <w:webHidden/>
          </w:rPr>
          <w:t>11</w:t>
        </w:r>
        <w:r w:rsidR="006B1917">
          <w:rPr>
            <w:noProof/>
            <w:webHidden/>
          </w:rPr>
          <w:fldChar w:fldCharType="end"/>
        </w:r>
      </w:hyperlink>
    </w:p>
    <w:p w14:paraId="439BE7D6" w14:textId="77777777" w:rsidR="006B1917" w:rsidRDefault="000C5B15">
      <w:pPr>
        <w:pStyle w:val="TOC1"/>
        <w:rPr>
          <w:rFonts w:asciiTheme="minorHAnsi" w:eastAsiaTheme="minorEastAsia" w:hAnsiTheme="minorHAnsi" w:cstheme="minorBidi"/>
          <w:noProof/>
          <w:sz w:val="22"/>
          <w:szCs w:val="22"/>
          <w:lang w:val="en-US" w:eastAsia="en-US"/>
        </w:rPr>
      </w:pPr>
      <w:hyperlink w:anchor="_Toc72754212" w:history="1">
        <w:r w:rsidR="006B1917" w:rsidRPr="006069DE">
          <w:rPr>
            <w:rStyle w:val="Hyperlink"/>
            <w:noProof/>
          </w:rPr>
          <w:t>11.</w:t>
        </w:r>
        <w:r w:rsidR="006B1917">
          <w:rPr>
            <w:rFonts w:asciiTheme="minorHAnsi" w:eastAsiaTheme="minorEastAsia" w:hAnsiTheme="minorHAnsi" w:cstheme="minorBidi"/>
            <w:noProof/>
            <w:sz w:val="22"/>
            <w:szCs w:val="22"/>
            <w:lang w:val="en-US" w:eastAsia="en-US"/>
          </w:rPr>
          <w:tab/>
        </w:r>
        <w:r w:rsidR="006B1917" w:rsidRPr="006069DE">
          <w:rPr>
            <w:rStyle w:val="Hyperlink"/>
            <w:noProof/>
          </w:rPr>
          <w:t>IEPIRKUMA LĪGUMA SLĒGŠANA</w:t>
        </w:r>
        <w:r w:rsidR="006B1917">
          <w:rPr>
            <w:noProof/>
            <w:webHidden/>
          </w:rPr>
          <w:tab/>
        </w:r>
        <w:r w:rsidR="006B1917">
          <w:rPr>
            <w:noProof/>
            <w:webHidden/>
          </w:rPr>
          <w:fldChar w:fldCharType="begin"/>
        </w:r>
        <w:r w:rsidR="006B1917">
          <w:rPr>
            <w:noProof/>
            <w:webHidden/>
          </w:rPr>
          <w:instrText xml:space="preserve"> PAGEREF _Toc72754212 \h </w:instrText>
        </w:r>
        <w:r w:rsidR="006B1917">
          <w:rPr>
            <w:noProof/>
            <w:webHidden/>
          </w:rPr>
        </w:r>
        <w:r w:rsidR="006B1917">
          <w:rPr>
            <w:noProof/>
            <w:webHidden/>
          </w:rPr>
          <w:fldChar w:fldCharType="separate"/>
        </w:r>
        <w:r w:rsidR="006B1917">
          <w:rPr>
            <w:noProof/>
            <w:webHidden/>
          </w:rPr>
          <w:t>13</w:t>
        </w:r>
        <w:r w:rsidR="006B1917">
          <w:rPr>
            <w:noProof/>
            <w:webHidden/>
          </w:rPr>
          <w:fldChar w:fldCharType="end"/>
        </w:r>
      </w:hyperlink>
    </w:p>
    <w:p w14:paraId="7398D2B5"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72754202"/>
      <w:r w:rsidRPr="00150241">
        <w:t>VISPĀRĪGA INFORMĀCIJA</w:t>
      </w:r>
      <w:bookmarkEnd w:id="0"/>
    </w:p>
    <w:p w14:paraId="24684654" w14:textId="537C49C3"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195B3F">
        <w:rPr>
          <w:rFonts w:ascii="Times New Roman" w:hAnsi="Times New Roman" w:cs="Times New Roman"/>
          <w:sz w:val="24"/>
          <w:szCs w:val="24"/>
        </w:rPr>
        <w:t>51</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0C5B1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38AD1A7B" w:rsidR="00E75D9B" w:rsidRPr="00150241" w:rsidRDefault="00195B3F" w:rsidP="000D26B2">
            <w:pPr>
              <w:overflowPunct w:val="0"/>
              <w:autoSpaceDE w:val="0"/>
              <w:autoSpaceDN w:val="0"/>
              <w:adjustRightInd w:val="0"/>
              <w:spacing w:after="0"/>
              <w:textAlignment w:val="baseline"/>
              <w:rPr>
                <w:rFonts w:ascii="Times New Roman" w:hAnsi="Times New Roman" w:cs="Times New Roman"/>
                <w:sz w:val="24"/>
                <w:szCs w:val="24"/>
              </w:rPr>
            </w:pPr>
            <w:r w:rsidRPr="00195B3F">
              <w:rPr>
                <w:rFonts w:ascii="Times New Roman" w:hAnsi="Times New Roman" w:cs="Times New Roman"/>
                <w:sz w:val="24"/>
                <w:szCs w:val="24"/>
              </w:rPr>
              <w:t>Uldis Mucenieks, t. 26358771, Uldis.Mucenieks@vbp.lv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w:t>
            </w:r>
            <w:proofErr w:type="spellStart"/>
            <w:r w:rsidRPr="00150241">
              <w:rPr>
                <w:rFonts w:ascii="Times New Roman" w:hAnsi="Times New Roman" w:cs="Times New Roman"/>
                <w:sz w:val="24"/>
                <w:szCs w:val="24"/>
              </w:rPr>
              <w:t>Luminor</w:t>
            </w:r>
            <w:proofErr w:type="spellEnd"/>
            <w:r w:rsidRPr="00150241">
              <w:rPr>
                <w:rFonts w:ascii="Times New Roman" w:hAnsi="Times New Roman" w:cs="Times New Roman"/>
                <w:sz w:val="24"/>
                <w:szCs w:val="24"/>
              </w:rPr>
              <w:t xml:space="preserve"> </w:t>
            </w:r>
            <w:proofErr w:type="spellStart"/>
            <w:r w:rsidRPr="00150241">
              <w:rPr>
                <w:rFonts w:ascii="Times New Roman" w:hAnsi="Times New Roman" w:cs="Times New Roman"/>
                <w:sz w:val="24"/>
                <w:szCs w:val="24"/>
              </w:rPr>
              <w:t>Bank</w:t>
            </w:r>
            <w:proofErr w:type="spellEnd"/>
            <w:r w:rsidRPr="00150241">
              <w:rPr>
                <w:rFonts w:ascii="Times New Roman" w:hAnsi="Times New Roman" w:cs="Times New Roman"/>
                <w:sz w:val="24"/>
                <w:szCs w:val="24"/>
              </w:rPr>
              <w:t>”,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72754203"/>
      <w:r w:rsidRPr="00150241">
        <w:t>INFORMĀCIJA PAR IEPIRKUMA PRIEKŠMETU</w:t>
      </w:r>
      <w:bookmarkEnd w:id="1"/>
    </w:p>
    <w:p w14:paraId="4811B2BA" w14:textId="2152F382" w:rsidR="00200224" w:rsidRPr="00A4615B" w:rsidRDefault="00200224" w:rsidP="00814FF5">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Iepirkuma priekšmets:</w:t>
      </w:r>
      <w:r w:rsidRPr="00A4615B">
        <w:rPr>
          <w:rFonts w:ascii="Times New Roman" w:eastAsia="Calibri" w:hAnsi="Times New Roman" w:cs="Times New Roman"/>
          <w:sz w:val="24"/>
          <w:szCs w:val="24"/>
        </w:rPr>
        <w:t xml:space="preserve"> </w:t>
      </w:r>
      <w:r w:rsidR="00195B3F" w:rsidRPr="00A4615B">
        <w:rPr>
          <w:rFonts w:ascii="Times New Roman" w:eastAsia="Calibri" w:hAnsi="Times New Roman" w:cs="Times New Roman"/>
          <w:sz w:val="24"/>
          <w:szCs w:val="24"/>
        </w:rPr>
        <w:t xml:space="preserve">Motoreļļas piegāde Ventspils brīvostas pārvaldes kuģiem saskaņā ar tehnisko specifikāciju </w:t>
      </w:r>
      <w:r w:rsidRPr="00A4615B">
        <w:rPr>
          <w:rFonts w:ascii="Times New Roman" w:eastAsia="Calibri" w:hAnsi="Times New Roman" w:cs="Times New Roman"/>
          <w:sz w:val="24"/>
          <w:szCs w:val="24"/>
        </w:rPr>
        <w:t>(1.pielikums).</w:t>
      </w:r>
    </w:p>
    <w:p w14:paraId="00AA3AF6" w14:textId="7D3D8194" w:rsidR="00A43F70" w:rsidRPr="00A4615B" w:rsidRDefault="00A43F70" w:rsidP="00814FF5">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CPV kods:</w:t>
      </w:r>
      <w:r w:rsidRPr="00A4615B">
        <w:rPr>
          <w:rFonts w:ascii="Times New Roman" w:eastAsia="Calibri" w:hAnsi="Times New Roman" w:cs="Times New Roman"/>
          <w:sz w:val="24"/>
          <w:szCs w:val="24"/>
        </w:rPr>
        <w:t xml:space="preserve"> </w:t>
      </w:r>
      <w:r w:rsidR="00814FF5" w:rsidRPr="00814FF5">
        <w:rPr>
          <w:rFonts w:ascii="Times New Roman" w:eastAsia="Calibri" w:hAnsi="Times New Roman" w:cs="Times New Roman"/>
          <w:sz w:val="24"/>
          <w:szCs w:val="24"/>
        </w:rPr>
        <w:t xml:space="preserve">09211100-2 </w:t>
      </w:r>
      <w:r w:rsidRPr="00A4615B">
        <w:rPr>
          <w:rFonts w:ascii="Times New Roman" w:eastAsia="Calibri" w:hAnsi="Times New Roman" w:cs="Times New Roman"/>
          <w:sz w:val="24"/>
          <w:szCs w:val="24"/>
        </w:rPr>
        <w:t>(</w:t>
      </w:r>
      <w:r w:rsidR="00814FF5">
        <w:rPr>
          <w:rFonts w:ascii="Times New Roman" w:eastAsia="Calibri" w:hAnsi="Times New Roman" w:cs="Times New Roman"/>
          <w:sz w:val="24"/>
          <w:szCs w:val="24"/>
        </w:rPr>
        <w:t>Motoreļļas</w:t>
      </w:r>
      <w:r w:rsidR="006C266D" w:rsidRPr="00A4615B">
        <w:rPr>
          <w:rFonts w:ascii="Times New Roman" w:eastAsia="Calibri" w:hAnsi="Times New Roman" w:cs="Times New Roman"/>
          <w:sz w:val="24"/>
          <w:szCs w:val="24"/>
        </w:rPr>
        <w:t>).</w:t>
      </w:r>
    </w:p>
    <w:p w14:paraId="6A025446" w14:textId="7B9869BF" w:rsidR="00200224" w:rsidRPr="00A4615B" w:rsidRDefault="00200224" w:rsidP="00000B87">
      <w:pPr>
        <w:pStyle w:val="ListParagraph"/>
        <w:numPr>
          <w:ilvl w:val="1"/>
          <w:numId w:val="2"/>
        </w:numPr>
        <w:ind w:left="993" w:hanging="426"/>
        <w:jc w:val="both"/>
        <w:rPr>
          <w:rFonts w:ascii="Times New Roman" w:eastAsia="Times New Roman" w:hAnsi="Times New Roman" w:cs="Times New Roman"/>
          <w:sz w:val="24"/>
          <w:szCs w:val="24"/>
          <w:lang w:eastAsia="lv-LV"/>
        </w:rPr>
      </w:pPr>
      <w:r w:rsidRPr="00A4615B">
        <w:rPr>
          <w:rFonts w:ascii="Times New Roman" w:eastAsia="Times New Roman" w:hAnsi="Times New Roman" w:cs="Times New Roman"/>
          <w:b/>
          <w:sz w:val="24"/>
          <w:szCs w:val="24"/>
          <w:lang w:eastAsia="lv-LV"/>
        </w:rPr>
        <w:t>Iepirkuma līguma (turpmāk – Līgums) izpildes termiņš:</w:t>
      </w:r>
      <w:r w:rsidRPr="00A4615B">
        <w:rPr>
          <w:rFonts w:ascii="Times New Roman" w:eastAsia="Times New Roman" w:hAnsi="Times New Roman" w:cs="Times New Roman"/>
          <w:sz w:val="24"/>
          <w:szCs w:val="24"/>
          <w:lang w:eastAsia="lv-LV"/>
        </w:rPr>
        <w:t xml:space="preserve"> </w:t>
      </w:r>
      <w:r w:rsidR="00A4615B" w:rsidRPr="00A4615B">
        <w:rPr>
          <w:rFonts w:ascii="Times New Roman" w:eastAsia="Times New Roman" w:hAnsi="Times New Roman" w:cs="Times New Roman"/>
          <w:sz w:val="24"/>
          <w:szCs w:val="24"/>
          <w:lang w:eastAsia="lv-LV"/>
        </w:rPr>
        <w:t>12</w:t>
      </w:r>
      <w:r w:rsidR="00FC6314">
        <w:rPr>
          <w:rFonts w:ascii="Times New Roman" w:eastAsia="Times New Roman" w:hAnsi="Times New Roman" w:cs="Times New Roman"/>
          <w:sz w:val="24"/>
          <w:szCs w:val="24"/>
          <w:lang w:eastAsia="lv-LV"/>
        </w:rPr>
        <w:t xml:space="preserve"> (divpa</w:t>
      </w:r>
      <w:r w:rsidR="00A4615B" w:rsidRPr="00A4615B">
        <w:rPr>
          <w:rFonts w:ascii="Times New Roman" w:eastAsia="Times New Roman" w:hAnsi="Times New Roman" w:cs="Times New Roman"/>
          <w:sz w:val="24"/>
          <w:szCs w:val="24"/>
          <w:lang w:eastAsia="lv-LV"/>
        </w:rPr>
        <w:t>d</w:t>
      </w:r>
      <w:r w:rsidR="00FC6314">
        <w:rPr>
          <w:rFonts w:ascii="Times New Roman" w:eastAsia="Times New Roman" w:hAnsi="Times New Roman" w:cs="Times New Roman"/>
          <w:sz w:val="24"/>
          <w:szCs w:val="24"/>
          <w:lang w:eastAsia="lv-LV"/>
        </w:rPr>
        <w:t>s</w:t>
      </w:r>
      <w:r w:rsidR="00A4615B" w:rsidRPr="00A4615B">
        <w:rPr>
          <w:rFonts w:ascii="Times New Roman" w:eastAsia="Times New Roman" w:hAnsi="Times New Roman" w:cs="Times New Roman"/>
          <w:sz w:val="24"/>
          <w:szCs w:val="24"/>
          <w:lang w:eastAsia="lv-LV"/>
        </w:rPr>
        <w:t>mit) mēneši no līguma spēkā stāšanās brīža, ar iespēju pagarināt Līgumu uz vēl 24 (divdesmit četriem) mēnešiem.</w:t>
      </w:r>
    </w:p>
    <w:p w14:paraId="7667DEF0" w14:textId="17E4EBE9" w:rsidR="00200224" w:rsidRPr="000D26B2" w:rsidRDefault="00200224" w:rsidP="000C5B15">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eastAsia="Times New Roman" w:hAnsi="Times New Roman" w:cs="Times New Roman"/>
          <w:b/>
          <w:sz w:val="24"/>
          <w:szCs w:val="24"/>
          <w:lang w:eastAsia="lv-LV"/>
        </w:rPr>
        <w:lastRenderedPageBreak/>
        <w:t xml:space="preserve">Piegādes vieta: </w:t>
      </w:r>
      <w:r w:rsidR="00FB11DB">
        <w:rPr>
          <w:rFonts w:ascii="Times New Roman" w:eastAsia="Times New Roman" w:hAnsi="Times New Roman" w:cs="Times New Roman"/>
          <w:sz w:val="24"/>
          <w:szCs w:val="24"/>
          <w:lang w:eastAsia="lv-LV"/>
        </w:rPr>
        <w:t xml:space="preserve">Pretendents ar savu transportu nodrošina </w:t>
      </w:r>
      <w:r w:rsidR="006F68FF">
        <w:rPr>
          <w:rFonts w:ascii="Times New Roman" w:eastAsia="Times New Roman" w:hAnsi="Times New Roman" w:cs="Times New Roman"/>
          <w:sz w:val="24"/>
          <w:szCs w:val="24"/>
          <w:lang w:eastAsia="lv-LV"/>
        </w:rPr>
        <w:t>P</w:t>
      </w:r>
      <w:r w:rsidR="00FB11DB">
        <w:rPr>
          <w:rFonts w:ascii="Times New Roman" w:eastAsia="Times New Roman" w:hAnsi="Times New Roman" w:cs="Times New Roman"/>
          <w:sz w:val="24"/>
          <w:szCs w:val="24"/>
          <w:lang w:eastAsia="lv-LV"/>
        </w:rPr>
        <w:t xml:space="preserve">reču piegādi </w:t>
      </w:r>
      <w:r w:rsidR="000C5B15" w:rsidRPr="000C5B15">
        <w:rPr>
          <w:rFonts w:ascii="Times New Roman" w:eastAsia="Times New Roman" w:hAnsi="Times New Roman" w:cs="Times New Roman"/>
          <w:sz w:val="24"/>
          <w:szCs w:val="24"/>
          <w:lang w:eastAsia="lv-LV"/>
        </w:rPr>
        <w:t>Ventspils ostas piestātn</w:t>
      </w:r>
      <w:r w:rsidR="000C5B15">
        <w:rPr>
          <w:rFonts w:ascii="Times New Roman" w:eastAsia="Times New Roman" w:hAnsi="Times New Roman" w:cs="Times New Roman"/>
          <w:sz w:val="24"/>
          <w:szCs w:val="24"/>
          <w:lang w:eastAsia="lv-LV"/>
        </w:rPr>
        <w:t>ē</w:t>
      </w:r>
      <w:r w:rsidR="000C5B15" w:rsidRPr="000C5B15">
        <w:rPr>
          <w:rFonts w:ascii="Times New Roman" w:eastAsia="Times New Roman" w:hAnsi="Times New Roman" w:cs="Times New Roman"/>
          <w:sz w:val="24"/>
          <w:szCs w:val="24"/>
          <w:lang w:eastAsia="lv-LV"/>
        </w:rPr>
        <w:t xml:space="preserve">s, kuģu remonta laikā – Rīgas, Liepājas ostas. </w:t>
      </w:r>
      <w:bookmarkStart w:id="2" w:name="_GoBack"/>
      <w:bookmarkEnd w:id="2"/>
      <w:r w:rsidR="000C5B15" w:rsidRPr="000C5B15">
        <w:rPr>
          <w:rFonts w:ascii="Times New Roman" w:eastAsia="Times New Roman" w:hAnsi="Times New Roman" w:cs="Times New Roman"/>
          <w:sz w:val="24"/>
          <w:szCs w:val="24"/>
          <w:lang w:eastAsia="lv-LV"/>
        </w:rPr>
        <w:t>Preces piegāde – pie kuģa borta</w:t>
      </w:r>
      <w:r w:rsidR="00FB11DB" w:rsidRPr="00150241">
        <w:rPr>
          <w:rFonts w:ascii="Times New Roman" w:eastAsia="Times New Roman" w:hAnsi="Times New Roman" w:cs="Times New Roman"/>
          <w:sz w:val="24"/>
          <w:szCs w:val="24"/>
          <w:lang w:eastAsia="lv-LV"/>
        </w:rPr>
        <w:t>.</w:t>
      </w:r>
    </w:p>
    <w:p w14:paraId="0A406F6E" w14:textId="378045D3" w:rsidR="000D26B2" w:rsidRPr="000D26B2" w:rsidRDefault="000D26B2" w:rsidP="000D26B2">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0D26B2">
        <w:rPr>
          <w:rFonts w:ascii="Times New Roman" w:eastAsia="Times New Roman" w:hAnsi="Times New Roman" w:cs="Times New Roman"/>
          <w:b/>
          <w:color w:val="000000"/>
          <w:sz w:val="24"/>
          <w:szCs w:val="24"/>
        </w:rPr>
        <w:t>Garantijas laiks</w:t>
      </w:r>
      <w:r>
        <w:rPr>
          <w:rFonts w:ascii="Times New Roman" w:eastAsia="Times New Roman" w:hAnsi="Times New Roman" w:cs="Times New Roman"/>
          <w:color w:val="000000"/>
          <w:sz w:val="24"/>
          <w:szCs w:val="24"/>
        </w:rPr>
        <w:t>: 2 (divi) gadi no Preču piegādes brīža.</w:t>
      </w:r>
    </w:p>
    <w:p w14:paraId="09E09168" w14:textId="77777777" w:rsidR="00200224" w:rsidRPr="00150241"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t>Iepirkuma priekšmets nav sadalīts daļās. Pretendentam piedāvājums jāsagatavo par visu iepirkuma priekšmetu kopumu vienā variantā.</w:t>
      </w:r>
    </w:p>
    <w:p w14:paraId="6B4CAC80" w14:textId="45F2BE0A" w:rsidR="00E75D9B" w:rsidRPr="00150241" w:rsidRDefault="00E75D9B" w:rsidP="007559CC">
      <w:pPr>
        <w:pStyle w:val="Heading1"/>
        <w:numPr>
          <w:ilvl w:val="0"/>
          <w:numId w:val="4"/>
        </w:numPr>
      </w:pPr>
      <w:bookmarkStart w:id="3" w:name="_Toc72754204"/>
      <w:r w:rsidRPr="00150241">
        <w:t>IEPIRKUMA PROCEDŪRAS DOKUMENTI</w:t>
      </w:r>
      <w:bookmarkEnd w:id="3"/>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33DCC297"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 tehniskais piedāvājums</w:t>
      </w:r>
      <w:r w:rsidR="00E75D9B" w:rsidRPr="00150241">
        <w:rPr>
          <w:rFonts w:ascii="Times New Roman" w:eastAsia="Times New Roman" w:hAnsi="Times New Roman" w:cs="Times New Roman"/>
          <w:sz w:val="24"/>
          <w:szCs w:val="24"/>
        </w:rPr>
        <w:t xml:space="preserve"> (1.pielikums);</w:t>
      </w:r>
    </w:p>
    <w:p w14:paraId="43C357EC" w14:textId="77777777"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Pretendenta pieteikums (2.pielikums);</w:t>
      </w:r>
    </w:p>
    <w:p w14:paraId="2989F162" w14:textId="77777777" w:rsidR="00755459" w:rsidRPr="00755459"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Apakšuzņēmēju saraksts un apakšuzņēmēju apliecinājums (</w:t>
      </w:r>
      <w:r w:rsidR="00FA65F9" w:rsidRPr="00150241">
        <w:rPr>
          <w:rFonts w:ascii="Times New Roman" w:eastAsia="Times New Roman" w:hAnsi="Times New Roman" w:cs="Times New Roman"/>
          <w:sz w:val="24"/>
          <w:szCs w:val="24"/>
        </w:rPr>
        <w:t>3</w:t>
      </w:r>
      <w:r w:rsidRPr="00150241">
        <w:rPr>
          <w:rFonts w:ascii="Times New Roman" w:eastAsia="Times New Roman" w:hAnsi="Times New Roman" w:cs="Times New Roman"/>
          <w:sz w:val="24"/>
          <w:szCs w:val="24"/>
        </w:rPr>
        <w:t>.pielikums)</w:t>
      </w:r>
      <w:r w:rsidR="00755459">
        <w:rPr>
          <w:rFonts w:ascii="Times New Roman" w:eastAsia="Times New Roman" w:hAnsi="Times New Roman" w:cs="Times New Roman"/>
          <w:sz w:val="24"/>
          <w:szCs w:val="24"/>
        </w:rPr>
        <w:t>;</w:t>
      </w:r>
    </w:p>
    <w:p w14:paraId="7B14646C" w14:textId="44194172" w:rsidR="00E75D9B" w:rsidRPr="00150241" w:rsidRDefault="00755459"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Līguma projekts (4.pielikums)</w:t>
      </w:r>
      <w:r w:rsidR="00E75D9B" w:rsidRPr="00150241">
        <w:rPr>
          <w:rFonts w:ascii="Times New Roman" w:eastAsia="Times New Roman" w:hAnsi="Times New Roman" w:cs="Times New Roman"/>
          <w:sz w:val="24"/>
          <w:szCs w:val="24"/>
        </w:rPr>
        <w:t>.</w:t>
      </w:r>
    </w:p>
    <w:p w14:paraId="03337EC7" w14:textId="47A4FCA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BE4D83">
        <w:rPr>
          <w:rFonts w:ascii="Times New Roman" w:eastAsia="Times New Roman" w:hAnsi="Times New Roman" w:cs="Times New Roman"/>
          <w:b/>
          <w:bCs/>
          <w:color w:val="000000"/>
          <w:sz w:val="24"/>
          <w:szCs w:val="24"/>
        </w:rPr>
        <w:t>4</w:t>
      </w:r>
      <w:r w:rsidR="00195B3F">
        <w:rPr>
          <w:rFonts w:ascii="Times New Roman" w:eastAsia="Times New Roman" w:hAnsi="Times New Roman" w:cs="Times New Roman"/>
          <w:b/>
          <w:bCs/>
          <w:color w:val="000000"/>
          <w:sz w:val="24"/>
          <w:szCs w:val="24"/>
        </w:rPr>
        <w:t xml:space="preserve">.jūnijam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Pr="00150241">
        <w:rPr>
          <w:rFonts w:ascii="Times New Roman" w:eastAsia="Times New Roman" w:hAnsi="Times New Roman" w:cs="Times New Roman"/>
          <w:b/>
          <w:sz w:val="24"/>
          <w:szCs w:val="24"/>
        </w:rPr>
        <w:t>6 (sešus) kalendāros mēnešus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lastRenderedPageBreak/>
        <w:t xml:space="preserve">                                                                                                                                                                                                                                                             </w:t>
      </w:r>
    </w:p>
    <w:p w14:paraId="32F2B27A" w14:textId="77777777" w:rsidR="00E75D9B" w:rsidRPr="00150241" w:rsidRDefault="00E75D9B" w:rsidP="007559CC">
      <w:pPr>
        <w:pStyle w:val="Heading1"/>
        <w:numPr>
          <w:ilvl w:val="0"/>
          <w:numId w:val="5"/>
        </w:numPr>
      </w:pPr>
      <w:bookmarkStart w:id="4" w:name="_Toc72754205"/>
      <w:bookmarkStart w:id="5" w:name="_Toc380415501"/>
      <w:r w:rsidRPr="00150241">
        <w:t>DALĪBAS NOSACĪJUMI IEPIRKUMA PROCEDŪRĀ</w:t>
      </w:r>
      <w:bookmarkEnd w:id="4"/>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proofErr w:type="spellStart"/>
      <w:r w:rsidRPr="00150241">
        <w:rPr>
          <w:i/>
          <w:iCs/>
        </w:rPr>
        <w:t>euro</w:t>
      </w:r>
      <w:proofErr w:type="spellEnd"/>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6" w:name="_Toc72754206"/>
      <w:r w:rsidRPr="00150241">
        <w:t>IESNIEDZAMIE DOKUMENTI:</w:t>
      </w:r>
      <w:bookmarkEnd w:id="6"/>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7" w:name="_Toc72754207"/>
      <w:r w:rsidRPr="00150241">
        <w:t>PRETENDENTU KVALIFIKĀCIJAS PRASĪBAS</w:t>
      </w:r>
      <w:r w:rsidR="00150241">
        <w:t xml:space="preserve"> / DALĪBAS NOSACĪJUMI</w:t>
      </w:r>
      <w:r w:rsidRPr="00150241">
        <w:t xml:space="preserve"> UN ATLASES </w:t>
      </w:r>
      <w:bookmarkEnd w:id="5"/>
      <w:r w:rsidRPr="00150241">
        <w:t>DOKUMENTI</w:t>
      </w:r>
      <w:bookmarkEnd w:id="7"/>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w:t>
            </w:r>
            <w:r w:rsidRPr="003410A3">
              <w:rPr>
                <w:rFonts w:ascii="Times New Roman" w:hAnsi="Times New Roman" w:cs="Times New Roman"/>
                <w:sz w:val="24"/>
                <w:szCs w:val="24"/>
                <w:lang w:eastAsia="lv-LV"/>
              </w:rPr>
              <w:lastRenderedPageBreak/>
              <w:t>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0C5B15"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w:t>
            </w:r>
            <w:r w:rsidRPr="003410A3">
              <w:rPr>
                <w:rFonts w:eastAsia="Calibri"/>
                <w:bCs/>
                <w:szCs w:val="24"/>
              </w:rPr>
              <w:lastRenderedPageBreak/>
              <w:t xml:space="preserve">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2B47D91" w:rsidR="00000B87" w:rsidRPr="003410A3" w:rsidRDefault="00000B87" w:rsidP="00335BCF">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335BCF">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0C5B15"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11421066" w:rsidR="00000B87" w:rsidRPr="00953A15" w:rsidRDefault="00000B87" w:rsidP="00335BCF">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sniedzamo </w:t>
            </w:r>
            <w:r w:rsidRPr="00C127CB">
              <w:rPr>
                <w:rFonts w:ascii="Times New Roman" w:eastAsia="Calibri" w:hAnsi="Times New Roman" w:cs="Times New Roman"/>
                <w:bCs/>
                <w:sz w:val="24"/>
                <w:szCs w:val="24"/>
              </w:rPr>
              <w:lastRenderedPageBreak/>
              <w:t xml:space="preserve">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77777777" w:rsidR="00000B87"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8" w:name="_Toc72754208"/>
      <w:r w:rsidRPr="00150241">
        <w:t>TEHNISKAIS PIEDĀVĀJUMS UN FINANŠU PIEDĀVĀJUMS</w:t>
      </w:r>
      <w:bookmarkEnd w:id="8"/>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Pr>
          <w:rFonts w:ascii="Times New Roman" w:hAnsi="Times New Roman" w:cs="Times New Roman"/>
          <w:bCs/>
          <w:sz w:val="24"/>
          <w:szCs w:val="24"/>
        </w:rPr>
        <w:t>2.pielikumā</w:t>
      </w:r>
      <w:r w:rsidRPr="00150241">
        <w:rPr>
          <w:rFonts w:ascii="Times New Roman" w:hAnsi="Times New Roman" w:cs="Times New Roman"/>
          <w:bCs/>
          <w:sz w:val="24"/>
          <w:szCs w:val="24"/>
        </w:rPr>
        <w:t xml:space="preserve"> pievienotajai veidnei.</w:t>
      </w:r>
    </w:p>
    <w:p w14:paraId="16D69C00" w14:textId="7E684D19" w:rsidR="00D27A5B" w:rsidRPr="00150241" w:rsidRDefault="00D27A5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tehniskais piedāvājums</w:t>
      </w:r>
      <w:r w:rsidRPr="00150241">
        <w:rPr>
          <w:rFonts w:ascii="Times New Roman" w:hAnsi="Times New Roman" w:cs="Times New Roman"/>
          <w:bCs/>
          <w:sz w:val="24"/>
          <w:szCs w:val="24"/>
        </w:rPr>
        <w:t xml:space="preserve"> atbilstoši </w:t>
      </w:r>
      <w:r w:rsidR="008D7823">
        <w:rPr>
          <w:rFonts w:ascii="Times New Roman" w:hAnsi="Times New Roman" w:cs="Times New Roman"/>
          <w:bCs/>
          <w:sz w:val="24"/>
          <w:szCs w:val="24"/>
        </w:rPr>
        <w:t>1.pielikumā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7559CC">
      <w:pPr>
        <w:pStyle w:val="Heading1"/>
        <w:numPr>
          <w:ilvl w:val="0"/>
          <w:numId w:val="8"/>
        </w:numPr>
      </w:pPr>
      <w:bookmarkStart w:id="9" w:name="_Toc72754209"/>
      <w:r w:rsidRPr="00150241">
        <w:t>PIEDĀVĀJUMA SAGATAVOŠANA UN NOFORMĒŠANA</w:t>
      </w:r>
      <w:bookmarkEnd w:id="9"/>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10" w:name="_Toc72754210"/>
      <w:r w:rsidRPr="00150241">
        <w:lastRenderedPageBreak/>
        <w:t>PIEDĀVĀJUMA IESNIEGŠANA UN ATVĒRŠANA</w:t>
      </w:r>
      <w:bookmarkEnd w:id="10"/>
    </w:p>
    <w:p w14:paraId="5096CA24" w14:textId="2A79203C"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 xml:space="preserve">līdz 2021.gada </w:t>
      </w:r>
      <w:r w:rsidR="00BE4D83">
        <w:rPr>
          <w:rFonts w:ascii="Times New Roman" w:hAnsi="Times New Roman" w:cs="Times New Roman"/>
          <w:b/>
          <w:bCs/>
          <w:sz w:val="24"/>
          <w:szCs w:val="24"/>
        </w:rPr>
        <w:t>4</w:t>
      </w:r>
      <w:r w:rsidR="002830CF">
        <w:rPr>
          <w:rFonts w:ascii="Times New Roman" w:hAnsi="Times New Roman" w:cs="Times New Roman"/>
          <w:b/>
          <w:bCs/>
          <w:sz w:val="24"/>
          <w:szCs w:val="24"/>
        </w:rPr>
        <w:t>.jūnijam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5484E7B9"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BE4D83">
        <w:rPr>
          <w:rFonts w:ascii="Times New Roman" w:hAnsi="Times New Roman" w:cs="Times New Roman"/>
          <w:b/>
          <w:sz w:val="24"/>
          <w:szCs w:val="24"/>
        </w:rPr>
        <w:t>4</w:t>
      </w:r>
      <w:r w:rsidR="002830CF">
        <w:rPr>
          <w:rFonts w:ascii="Times New Roman" w:hAnsi="Times New Roman" w:cs="Times New Roman"/>
          <w:b/>
          <w:sz w:val="24"/>
          <w:szCs w:val="24"/>
        </w:rPr>
        <w:t>.jūnijā</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1" w:name="_Toc72754211"/>
      <w:r w:rsidRPr="00150241">
        <w:lastRenderedPageBreak/>
        <w:t>CITI NOTEIKUMI</w:t>
      </w:r>
      <w:bookmarkEnd w:id="11"/>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w:t>
      </w:r>
      <w:r w:rsidRPr="00150241">
        <w:rPr>
          <w:lang w:val="lv-LV"/>
        </w:rPr>
        <w:lastRenderedPageBreak/>
        <w:t>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150241">
        <w:rPr>
          <w:lang w:val="lv-LV"/>
        </w:rPr>
        <w:t>euro</w:t>
      </w:r>
      <w:proofErr w:type="spellEnd"/>
      <w:r w:rsidRPr="00150241">
        <w:rPr>
          <w:lang w:val="lv-LV"/>
        </w:rPr>
        <w:t xml:space="preserve">. Ja nodokļu parādi pārsniedz 150 </w:t>
      </w:r>
      <w:proofErr w:type="spellStart"/>
      <w:r w:rsidRPr="00150241">
        <w:rPr>
          <w:lang w:val="lv-LV"/>
        </w:rPr>
        <w:t>euro</w:t>
      </w:r>
      <w:proofErr w:type="spellEnd"/>
      <w:r w:rsidRPr="00150241">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150241">
        <w:rPr>
          <w:lang w:val="lv-LV"/>
        </w:rPr>
        <w:t>euro</w:t>
      </w:r>
      <w:proofErr w:type="spellEnd"/>
      <w:r w:rsidRPr="00150241">
        <w:rPr>
          <w:lang w:val="lv-LV"/>
        </w:rPr>
        <w:t xml:space="preserve">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150241">
        <w:rPr>
          <w:lang w:val="lv-LV"/>
        </w:rPr>
        <w:t>pārstāvēttiesīgo</w:t>
      </w:r>
      <w:proofErr w:type="spellEnd"/>
      <w:r w:rsidRPr="0015024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150241">
        <w:rPr>
          <w:lang w:val="lv-LV"/>
        </w:rPr>
        <w:t>pārstāvēttiesīgo</w:t>
      </w:r>
      <w:proofErr w:type="spellEnd"/>
      <w:r w:rsidRPr="0015024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lastRenderedPageBreak/>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2" w:name="_Toc72754212"/>
      <w:r w:rsidRPr="00150241">
        <w:t>IEPIRKUMA LĪGUMA SLĒGŠANA</w:t>
      </w:r>
      <w:bookmarkEnd w:id="12"/>
    </w:p>
    <w:p w14:paraId="103FDED8" w14:textId="5CF4743E" w:rsidR="007559CC" w:rsidRPr="007559CC" w:rsidRDefault="007559CC" w:rsidP="007559CC">
      <w:pPr>
        <w:pStyle w:val="ListParagraph"/>
        <w:numPr>
          <w:ilvl w:val="1"/>
          <w:numId w:val="8"/>
        </w:numPr>
        <w:jc w:val="both"/>
        <w:rPr>
          <w:rFonts w:ascii="Times New Roman" w:hAnsi="Times New Roman" w:cs="Times New Roman"/>
          <w:sz w:val="24"/>
          <w:szCs w:val="24"/>
        </w:rPr>
      </w:pPr>
      <w:r w:rsidRPr="007559CC">
        <w:rPr>
          <w:rFonts w:ascii="Times New Roman" w:hAnsi="Times New Roman" w:cs="Times New Roman"/>
          <w:sz w:val="24"/>
          <w:szCs w:val="24"/>
        </w:rPr>
        <w:t xml:space="preserve">Par pamatu līguma sagatavošanai un noslēgšanai tiks izmantots iepirkuma līguma projekts (saskaņā ar šī nolikuma </w:t>
      </w:r>
      <w:r>
        <w:rPr>
          <w:rFonts w:ascii="Times New Roman" w:hAnsi="Times New Roman" w:cs="Times New Roman"/>
          <w:sz w:val="24"/>
          <w:szCs w:val="24"/>
        </w:rPr>
        <w:t>4</w:t>
      </w:r>
      <w:r w:rsidRPr="007559CC">
        <w:rPr>
          <w:rFonts w:ascii="Times New Roman" w:hAnsi="Times New Roman" w:cs="Times New Roman"/>
          <w:sz w:val="24"/>
          <w:szCs w:val="24"/>
        </w:rPr>
        <w:t>.pielikumu).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F5DE0D06"/>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1"/>
  </w:num>
  <w:num w:numId="4">
    <w:abstractNumId w:val="4"/>
  </w:num>
  <w:num w:numId="5">
    <w:abstractNumId w:val="0"/>
  </w:num>
  <w:num w:numId="6">
    <w:abstractNumId w:val="3"/>
  </w:num>
  <w:num w:numId="7">
    <w:abstractNumId w:val="2"/>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5B15"/>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6773"/>
    <w:rsid w:val="00150241"/>
    <w:rsid w:val="0015237F"/>
    <w:rsid w:val="00152687"/>
    <w:rsid w:val="00156315"/>
    <w:rsid w:val="001639D0"/>
    <w:rsid w:val="00165266"/>
    <w:rsid w:val="001717CF"/>
    <w:rsid w:val="00182047"/>
    <w:rsid w:val="001902DE"/>
    <w:rsid w:val="00195B3F"/>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749B"/>
    <w:rsid w:val="002E7F4C"/>
    <w:rsid w:val="002F573D"/>
    <w:rsid w:val="00300303"/>
    <w:rsid w:val="003022D0"/>
    <w:rsid w:val="00306AA2"/>
    <w:rsid w:val="003341E8"/>
    <w:rsid w:val="00335BCF"/>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14FF5"/>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4D83"/>
    <w:rsid w:val="00BE5E11"/>
    <w:rsid w:val="00BF2F78"/>
    <w:rsid w:val="00BF309E"/>
    <w:rsid w:val="00BF4201"/>
    <w:rsid w:val="00BF5703"/>
    <w:rsid w:val="00BF78A2"/>
    <w:rsid w:val="00C04711"/>
    <w:rsid w:val="00C04E2A"/>
    <w:rsid w:val="00C164CC"/>
    <w:rsid w:val="00C2308C"/>
    <w:rsid w:val="00C23E9E"/>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4471B"/>
    <w:rsid w:val="00D45F69"/>
    <w:rsid w:val="00D46A9D"/>
    <w:rsid w:val="00D51B43"/>
    <w:rsid w:val="00D54D0E"/>
    <w:rsid w:val="00D620D7"/>
    <w:rsid w:val="00D737AE"/>
    <w:rsid w:val="00D750AF"/>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F6D2-34D7-488C-8B2E-F95F1424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4693</Words>
  <Characters>26753</Characters>
  <Application>Microsoft Office Word</Application>
  <DocSecurity>0</DocSecurity>
  <Lines>222</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13</cp:revision>
  <cp:lastPrinted>2020-01-22T13:56:00Z</cp:lastPrinted>
  <dcterms:created xsi:type="dcterms:W3CDTF">2021-05-24T10:05:00Z</dcterms:created>
  <dcterms:modified xsi:type="dcterms:W3CDTF">2021-05-26T05:18:00Z</dcterms:modified>
</cp:coreProperties>
</file>