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1A72246E"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836C96">
        <w:rPr>
          <w:rFonts w:ascii="Times New Roman" w:eastAsia="Times New Roman" w:hAnsi="Times New Roman" w:cs="Times New Roman"/>
          <w:color w:val="000000"/>
          <w:sz w:val="24"/>
          <w:szCs w:val="24"/>
        </w:rPr>
        <w:t xml:space="preserve"> 6.jūlija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C9829B5" w:rsidR="00E75D9B" w:rsidRPr="00150241" w:rsidRDefault="00E75D9B" w:rsidP="00E75D9B">
      <w:pPr>
        <w:pStyle w:val="BlockText"/>
        <w:ind w:left="142"/>
        <w:jc w:val="center"/>
        <w:rPr>
          <w:b/>
          <w:bCs/>
          <w:sz w:val="48"/>
          <w:szCs w:val="48"/>
        </w:rPr>
      </w:pPr>
      <w:r w:rsidRPr="00150241">
        <w:rPr>
          <w:b/>
          <w:sz w:val="48"/>
          <w:szCs w:val="48"/>
        </w:rPr>
        <w:t>“</w:t>
      </w:r>
      <w:r w:rsidR="002E64EF" w:rsidRPr="002E64EF">
        <w:rPr>
          <w:b/>
          <w:sz w:val="48"/>
          <w:szCs w:val="48"/>
        </w:rPr>
        <w:t>Rakstiskās tulkošanas pakalpojumu nodrošināšana</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7B251ED1"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2E64EF">
        <w:rPr>
          <w:rFonts w:ascii="Times New Roman" w:hAnsi="Times New Roman" w:cs="Times New Roman"/>
          <w:b/>
          <w:sz w:val="36"/>
          <w:szCs w:val="48"/>
        </w:rPr>
        <w:t>60</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2D010980" w14:textId="77777777" w:rsidR="00D86B8A"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76113145" w:history="1">
        <w:r w:rsidR="00D86B8A" w:rsidRPr="0008438B">
          <w:rPr>
            <w:rStyle w:val="Hyperlink"/>
            <w:noProof/>
          </w:rPr>
          <w:t>1.</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VISPĀRĪGA INFORMĀCIJA</w:t>
        </w:r>
        <w:r w:rsidR="00D86B8A">
          <w:rPr>
            <w:noProof/>
            <w:webHidden/>
          </w:rPr>
          <w:tab/>
        </w:r>
        <w:r w:rsidR="00D86B8A">
          <w:rPr>
            <w:noProof/>
            <w:webHidden/>
          </w:rPr>
          <w:fldChar w:fldCharType="begin"/>
        </w:r>
        <w:r w:rsidR="00D86B8A">
          <w:rPr>
            <w:noProof/>
            <w:webHidden/>
          </w:rPr>
          <w:instrText xml:space="preserve"> PAGEREF _Toc76113145 \h </w:instrText>
        </w:r>
        <w:r w:rsidR="00D86B8A">
          <w:rPr>
            <w:noProof/>
            <w:webHidden/>
          </w:rPr>
        </w:r>
        <w:r w:rsidR="00D86B8A">
          <w:rPr>
            <w:noProof/>
            <w:webHidden/>
          </w:rPr>
          <w:fldChar w:fldCharType="separate"/>
        </w:r>
        <w:r w:rsidR="00D86B8A">
          <w:rPr>
            <w:noProof/>
            <w:webHidden/>
          </w:rPr>
          <w:t>3</w:t>
        </w:r>
        <w:r w:rsidR="00D86B8A">
          <w:rPr>
            <w:noProof/>
            <w:webHidden/>
          </w:rPr>
          <w:fldChar w:fldCharType="end"/>
        </w:r>
      </w:hyperlink>
    </w:p>
    <w:p w14:paraId="1BD62C00"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46" w:history="1">
        <w:r w:rsidR="00D86B8A" w:rsidRPr="0008438B">
          <w:rPr>
            <w:rStyle w:val="Hyperlink"/>
            <w:bCs/>
            <w:noProof/>
          </w:rPr>
          <w:t>2.</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INFORMĀCIJA PAR IEPIRKUMA PRIEKŠMETU</w:t>
        </w:r>
        <w:r w:rsidR="00D86B8A">
          <w:rPr>
            <w:noProof/>
            <w:webHidden/>
          </w:rPr>
          <w:tab/>
        </w:r>
        <w:r w:rsidR="00D86B8A">
          <w:rPr>
            <w:noProof/>
            <w:webHidden/>
          </w:rPr>
          <w:fldChar w:fldCharType="begin"/>
        </w:r>
        <w:r w:rsidR="00D86B8A">
          <w:rPr>
            <w:noProof/>
            <w:webHidden/>
          </w:rPr>
          <w:instrText xml:space="preserve"> PAGEREF _Toc76113146 \h </w:instrText>
        </w:r>
        <w:r w:rsidR="00D86B8A">
          <w:rPr>
            <w:noProof/>
            <w:webHidden/>
          </w:rPr>
        </w:r>
        <w:r w:rsidR="00D86B8A">
          <w:rPr>
            <w:noProof/>
            <w:webHidden/>
          </w:rPr>
          <w:fldChar w:fldCharType="separate"/>
        </w:r>
        <w:r w:rsidR="00D86B8A">
          <w:rPr>
            <w:noProof/>
            <w:webHidden/>
          </w:rPr>
          <w:t>3</w:t>
        </w:r>
        <w:r w:rsidR="00D86B8A">
          <w:rPr>
            <w:noProof/>
            <w:webHidden/>
          </w:rPr>
          <w:fldChar w:fldCharType="end"/>
        </w:r>
      </w:hyperlink>
    </w:p>
    <w:p w14:paraId="0262C4D6"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47" w:history="1">
        <w:r w:rsidR="00D86B8A" w:rsidRPr="0008438B">
          <w:rPr>
            <w:rStyle w:val="Hyperlink"/>
            <w:noProof/>
          </w:rPr>
          <w:t>3.</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IEPIRKUMA PROCEDŪRAS DOKUMENTI</w:t>
        </w:r>
        <w:r w:rsidR="00D86B8A">
          <w:rPr>
            <w:noProof/>
            <w:webHidden/>
          </w:rPr>
          <w:tab/>
        </w:r>
        <w:r w:rsidR="00D86B8A">
          <w:rPr>
            <w:noProof/>
            <w:webHidden/>
          </w:rPr>
          <w:fldChar w:fldCharType="begin"/>
        </w:r>
        <w:r w:rsidR="00D86B8A">
          <w:rPr>
            <w:noProof/>
            <w:webHidden/>
          </w:rPr>
          <w:instrText xml:space="preserve"> PAGEREF _Toc76113147 \h </w:instrText>
        </w:r>
        <w:r w:rsidR="00D86B8A">
          <w:rPr>
            <w:noProof/>
            <w:webHidden/>
          </w:rPr>
        </w:r>
        <w:r w:rsidR="00D86B8A">
          <w:rPr>
            <w:noProof/>
            <w:webHidden/>
          </w:rPr>
          <w:fldChar w:fldCharType="separate"/>
        </w:r>
        <w:r w:rsidR="00D86B8A">
          <w:rPr>
            <w:noProof/>
            <w:webHidden/>
          </w:rPr>
          <w:t>4</w:t>
        </w:r>
        <w:r w:rsidR="00D86B8A">
          <w:rPr>
            <w:noProof/>
            <w:webHidden/>
          </w:rPr>
          <w:fldChar w:fldCharType="end"/>
        </w:r>
      </w:hyperlink>
    </w:p>
    <w:p w14:paraId="2225E823"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48" w:history="1">
        <w:r w:rsidR="00D86B8A" w:rsidRPr="0008438B">
          <w:rPr>
            <w:rStyle w:val="Hyperlink"/>
            <w:noProof/>
          </w:rPr>
          <w:t>4.</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DALĪBAS NOSACĪJUMI IEPIRKUMA PROCEDŪRĀ</w:t>
        </w:r>
        <w:r w:rsidR="00D86B8A">
          <w:rPr>
            <w:noProof/>
            <w:webHidden/>
          </w:rPr>
          <w:tab/>
        </w:r>
        <w:r w:rsidR="00D86B8A">
          <w:rPr>
            <w:noProof/>
            <w:webHidden/>
          </w:rPr>
          <w:fldChar w:fldCharType="begin"/>
        </w:r>
        <w:r w:rsidR="00D86B8A">
          <w:rPr>
            <w:noProof/>
            <w:webHidden/>
          </w:rPr>
          <w:instrText xml:space="preserve"> PAGEREF _Toc76113148 \h </w:instrText>
        </w:r>
        <w:r w:rsidR="00D86B8A">
          <w:rPr>
            <w:noProof/>
            <w:webHidden/>
          </w:rPr>
        </w:r>
        <w:r w:rsidR="00D86B8A">
          <w:rPr>
            <w:noProof/>
            <w:webHidden/>
          </w:rPr>
          <w:fldChar w:fldCharType="separate"/>
        </w:r>
        <w:r w:rsidR="00D86B8A">
          <w:rPr>
            <w:noProof/>
            <w:webHidden/>
          </w:rPr>
          <w:t>4</w:t>
        </w:r>
        <w:r w:rsidR="00D86B8A">
          <w:rPr>
            <w:noProof/>
            <w:webHidden/>
          </w:rPr>
          <w:fldChar w:fldCharType="end"/>
        </w:r>
      </w:hyperlink>
    </w:p>
    <w:p w14:paraId="23474882"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49" w:history="1">
        <w:r w:rsidR="00D86B8A" w:rsidRPr="0008438B">
          <w:rPr>
            <w:rStyle w:val="Hyperlink"/>
            <w:noProof/>
          </w:rPr>
          <w:t>5.</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IESNIEDZAMIE DOKUMENTI:</w:t>
        </w:r>
        <w:r w:rsidR="00D86B8A">
          <w:rPr>
            <w:noProof/>
            <w:webHidden/>
          </w:rPr>
          <w:tab/>
        </w:r>
        <w:r w:rsidR="00D86B8A">
          <w:rPr>
            <w:noProof/>
            <w:webHidden/>
          </w:rPr>
          <w:fldChar w:fldCharType="begin"/>
        </w:r>
        <w:r w:rsidR="00D86B8A">
          <w:rPr>
            <w:noProof/>
            <w:webHidden/>
          </w:rPr>
          <w:instrText xml:space="preserve"> PAGEREF _Toc76113149 \h </w:instrText>
        </w:r>
        <w:r w:rsidR="00D86B8A">
          <w:rPr>
            <w:noProof/>
            <w:webHidden/>
          </w:rPr>
        </w:r>
        <w:r w:rsidR="00D86B8A">
          <w:rPr>
            <w:noProof/>
            <w:webHidden/>
          </w:rPr>
          <w:fldChar w:fldCharType="separate"/>
        </w:r>
        <w:r w:rsidR="00D86B8A">
          <w:rPr>
            <w:noProof/>
            <w:webHidden/>
          </w:rPr>
          <w:t>5</w:t>
        </w:r>
        <w:r w:rsidR="00D86B8A">
          <w:rPr>
            <w:noProof/>
            <w:webHidden/>
          </w:rPr>
          <w:fldChar w:fldCharType="end"/>
        </w:r>
      </w:hyperlink>
    </w:p>
    <w:p w14:paraId="00B559C7"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50" w:history="1">
        <w:r w:rsidR="00D86B8A" w:rsidRPr="0008438B">
          <w:rPr>
            <w:rStyle w:val="Hyperlink"/>
            <w:noProof/>
          </w:rPr>
          <w:t>6.</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PRETENDENTU KVALIFIKĀCIJAS PRASĪBAS / DALĪBAS NOSACĪJUMI UN ATLASES DOKUMENTI</w:t>
        </w:r>
        <w:r w:rsidR="00D86B8A">
          <w:rPr>
            <w:noProof/>
            <w:webHidden/>
          </w:rPr>
          <w:tab/>
        </w:r>
        <w:r w:rsidR="00D86B8A">
          <w:rPr>
            <w:noProof/>
            <w:webHidden/>
          </w:rPr>
          <w:fldChar w:fldCharType="begin"/>
        </w:r>
        <w:r w:rsidR="00D86B8A">
          <w:rPr>
            <w:noProof/>
            <w:webHidden/>
          </w:rPr>
          <w:instrText xml:space="preserve"> PAGEREF _Toc76113150 \h </w:instrText>
        </w:r>
        <w:r w:rsidR="00D86B8A">
          <w:rPr>
            <w:noProof/>
            <w:webHidden/>
          </w:rPr>
        </w:r>
        <w:r w:rsidR="00D86B8A">
          <w:rPr>
            <w:noProof/>
            <w:webHidden/>
          </w:rPr>
          <w:fldChar w:fldCharType="separate"/>
        </w:r>
        <w:r w:rsidR="00D86B8A">
          <w:rPr>
            <w:noProof/>
            <w:webHidden/>
          </w:rPr>
          <w:t>5</w:t>
        </w:r>
        <w:r w:rsidR="00D86B8A">
          <w:rPr>
            <w:noProof/>
            <w:webHidden/>
          </w:rPr>
          <w:fldChar w:fldCharType="end"/>
        </w:r>
      </w:hyperlink>
    </w:p>
    <w:p w14:paraId="4841E3C3"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51" w:history="1">
        <w:r w:rsidR="00D86B8A" w:rsidRPr="0008438B">
          <w:rPr>
            <w:rStyle w:val="Hyperlink"/>
            <w:noProof/>
          </w:rPr>
          <w:t>7.</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TEHNISKAIS PIEDĀVĀJUMS UN FINANŠU PIEDĀVĀJUMS</w:t>
        </w:r>
        <w:r w:rsidR="00D86B8A">
          <w:rPr>
            <w:noProof/>
            <w:webHidden/>
          </w:rPr>
          <w:tab/>
        </w:r>
        <w:r w:rsidR="00D86B8A">
          <w:rPr>
            <w:noProof/>
            <w:webHidden/>
          </w:rPr>
          <w:fldChar w:fldCharType="begin"/>
        </w:r>
        <w:r w:rsidR="00D86B8A">
          <w:rPr>
            <w:noProof/>
            <w:webHidden/>
          </w:rPr>
          <w:instrText xml:space="preserve"> PAGEREF _Toc76113151 \h </w:instrText>
        </w:r>
        <w:r w:rsidR="00D86B8A">
          <w:rPr>
            <w:noProof/>
            <w:webHidden/>
          </w:rPr>
        </w:r>
        <w:r w:rsidR="00D86B8A">
          <w:rPr>
            <w:noProof/>
            <w:webHidden/>
          </w:rPr>
          <w:fldChar w:fldCharType="separate"/>
        </w:r>
        <w:r w:rsidR="00D86B8A">
          <w:rPr>
            <w:noProof/>
            <w:webHidden/>
          </w:rPr>
          <w:t>9</w:t>
        </w:r>
        <w:r w:rsidR="00D86B8A">
          <w:rPr>
            <w:noProof/>
            <w:webHidden/>
          </w:rPr>
          <w:fldChar w:fldCharType="end"/>
        </w:r>
      </w:hyperlink>
    </w:p>
    <w:p w14:paraId="22CB79B9"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52" w:history="1">
        <w:r w:rsidR="00D86B8A" w:rsidRPr="0008438B">
          <w:rPr>
            <w:rStyle w:val="Hyperlink"/>
            <w:noProof/>
          </w:rPr>
          <w:t>8.</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PIEDĀVĀJUMA SAGATAVOŠANA UN NOFORMĒŠANA</w:t>
        </w:r>
        <w:r w:rsidR="00D86B8A">
          <w:rPr>
            <w:noProof/>
            <w:webHidden/>
          </w:rPr>
          <w:tab/>
        </w:r>
        <w:r w:rsidR="00D86B8A">
          <w:rPr>
            <w:noProof/>
            <w:webHidden/>
          </w:rPr>
          <w:fldChar w:fldCharType="begin"/>
        </w:r>
        <w:r w:rsidR="00D86B8A">
          <w:rPr>
            <w:noProof/>
            <w:webHidden/>
          </w:rPr>
          <w:instrText xml:space="preserve"> PAGEREF _Toc76113152 \h </w:instrText>
        </w:r>
        <w:r w:rsidR="00D86B8A">
          <w:rPr>
            <w:noProof/>
            <w:webHidden/>
          </w:rPr>
        </w:r>
        <w:r w:rsidR="00D86B8A">
          <w:rPr>
            <w:noProof/>
            <w:webHidden/>
          </w:rPr>
          <w:fldChar w:fldCharType="separate"/>
        </w:r>
        <w:r w:rsidR="00D86B8A">
          <w:rPr>
            <w:noProof/>
            <w:webHidden/>
          </w:rPr>
          <w:t>9</w:t>
        </w:r>
        <w:r w:rsidR="00D86B8A">
          <w:rPr>
            <w:noProof/>
            <w:webHidden/>
          </w:rPr>
          <w:fldChar w:fldCharType="end"/>
        </w:r>
      </w:hyperlink>
    </w:p>
    <w:p w14:paraId="730970E4"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53" w:history="1">
        <w:r w:rsidR="00D86B8A" w:rsidRPr="0008438B">
          <w:rPr>
            <w:rStyle w:val="Hyperlink"/>
            <w:noProof/>
          </w:rPr>
          <w:t>9.</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PIEDĀVĀJUMA IESNIEGŠANA UN ATVĒRŠANA</w:t>
        </w:r>
        <w:r w:rsidR="00D86B8A">
          <w:rPr>
            <w:noProof/>
            <w:webHidden/>
          </w:rPr>
          <w:tab/>
        </w:r>
        <w:r w:rsidR="00D86B8A">
          <w:rPr>
            <w:noProof/>
            <w:webHidden/>
          </w:rPr>
          <w:fldChar w:fldCharType="begin"/>
        </w:r>
        <w:r w:rsidR="00D86B8A">
          <w:rPr>
            <w:noProof/>
            <w:webHidden/>
          </w:rPr>
          <w:instrText xml:space="preserve"> PAGEREF _Toc76113153 \h </w:instrText>
        </w:r>
        <w:r w:rsidR="00D86B8A">
          <w:rPr>
            <w:noProof/>
            <w:webHidden/>
          </w:rPr>
        </w:r>
        <w:r w:rsidR="00D86B8A">
          <w:rPr>
            <w:noProof/>
            <w:webHidden/>
          </w:rPr>
          <w:fldChar w:fldCharType="separate"/>
        </w:r>
        <w:r w:rsidR="00D86B8A">
          <w:rPr>
            <w:noProof/>
            <w:webHidden/>
          </w:rPr>
          <w:t>10</w:t>
        </w:r>
        <w:r w:rsidR="00D86B8A">
          <w:rPr>
            <w:noProof/>
            <w:webHidden/>
          </w:rPr>
          <w:fldChar w:fldCharType="end"/>
        </w:r>
      </w:hyperlink>
    </w:p>
    <w:p w14:paraId="4C3CCDFE"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54" w:history="1">
        <w:r w:rsidR="00D86B8A" w:rsidRPr="0008438B">
          <w:rPr>
            <w:rStyle w:val="Hyperlink"/>
            <w:noProof/>
          </w:rPr>
          <w:t>10.</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CITI NOTEIKUMI</w:t>
        </w:r>
        <w:r w:rsidR="00D86B8A">
          <w:rPr>
            <w:noProof/>
            <w:webHidden/>
          </w:rPr>
          <w:tab/>
        </w:r>
        <w:r w:rsidR="00D86B8A">
          <w:rPr>
            <w:noProof/>
            <w:webHidden/>
          </w:rPr>
          <w:fldChar w:fldCharType="begin"/>
        </w:r>
        <w:r w:rsidR="00D86B8A">
          <w:rPr>
            <w:noProof/>
            <w:webHidden/>
          </w:rPr>
          <w:instrText xml:space="preserve"> PAGEREF _Toc76113154 \h </w:instrText>
        </w:r>
        <w:r w:rsidR="00D86B8A">
          <w:rPr>
            <w:noProof/>
            <w:webHidden/>
          </w:rPr>
        </w:r>
        <w:r w:rsidR="00D86B8A">
          <w:rPr>
            <w:noProof/>
            <w:webHidden/>
          </w:rPr>
          <w:fldChar w:fldCharType="separate"/>
        </w:r>
        <w:r w:rsidR="00D86B8A">
          <w:rPr>
            <w:noProof/>
            <w:webHidden/>
          </w:rPr>
          <w:t>11</w:t>
        </w:r>
        <w:r w:rsidR="00D86B8A">
          <w:rPr>
            <w:noProof/>
            <w:webHidden/>
          </w:rPr>
          <w:fldChar w:fldCharType="end"/>
        </w:r>
      </w:hyperlink>
    </w:p>
    <w:p w14:paraId="53B76A28" w14:textId="77777777" w:rsidR="00D86B8A" w:rsidRDefault="00ED76E0">
      <w:pPr>
        <w:pStyle w:val="TOC1"/>
        <w:rPr>
          <w:rFonts w:asciiTheme="minorHAnsi" w:eastAsiaTheme="minorEastAsia" w:hAnsiTheme="minorHAnsi" w:cstheme="minorBidi"/>
          <w:noProof/>
          <w:sz w:val="22"/>
          <w:szCs w:val="22"/>
          <w:lang w:val="en-US" w:eastAsia="en-US"/>
        </w:rPr>
      </w:pPr>
      <w:hyperlink w:anchor="_Toc76113155" w:history="1">
        <w:r w:rsidR="00D86B8A" w:rsidRPr="0008438B">
          <w:rPr>
            <w:rStyle w:val="Hyperlink"/>
            <w:noProof/>
          </w:rPr>
          <w:t>11.</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IEPIRKUMA LĪGUMA SLĒGŠANA</w:t>
        </w:r>
        <w:r w:rsidR="00D86B8A">
          <w:rPr>
            <w:noProof/>
            <w:webHidden/>
          </w:rPr>
          <w:tab/>
        </w:r>
        <w:r w:rsidR="00D86B8A">
          <w:rPr>
            <w:noProof/>
            <w:webHidden/>
          </w:rPr>
          <w:fldChar w:fldCharType="begin"/>
        </w:r>
        <w:r w:rsidR="00D86B8A">
          <w:rPr>
            <w:noProof/>
            <w:webHidden/>
          </w:rPr>
          <w:instrText xml:space="preserve"> PAGEREF _Toc76113155 \h </w:instrText>
        </w:r>
        <w:r w:rsidR="00D86B8A">
          <w:rPr>
            <w:noProof/>
            <w:webHidden/>
          </w:rPr>
        </w:r>
        <w:r w:rsidR="00D86B8A">
          <w:rPr>
            <w:noProof/>
            <w:webHidden/>
          </w:rPr>
          <w:fldChar w:fldCharType="separate"/>
        </w:r>
        <w:r w:rsidR="00D86B8A">
          <w:rPr>
            <w:noProof/>
            <w:webHidden/>
          </w:rPr>
          <w:t>13</w:t>
        </w:r>
        <w:r w:rsidR="00D86B8A">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76113145"/>
      <w:r w:rsidRPr="00150241">
        <w:t>VISPĀRĪGA INFORMĀCIJA</w:t>
      </w:r>
      <w:bookmarkEnd w:id="0"/>
    </w:p>
    <w:p w14:paraId="24684654" w14:textId="03E206EF"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2E64EF">
        <w:rPr>
          <w:rFonts w:ascii="Times New Roman" w:hAnsi="Times New Roman" w:cs="Times New Roman"/>
          <w:sz w:val="24"/>
          <w:szCs w:val="24"/>
        </w:rPr>
        <w:t>60</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ED76E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7FB8E117" w:rsidR="00E75D9B" w:rsidRPr="00150241" w:rsidRDefault="002E64EF" w:rsidP="002E64E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Kristīne Jansone, t. </w:t>
            </w:r>
            <w:r w:rsidR="00FD1B4A" w:rsidRPr="00FD1B4A">
              <w:rPr>
                <w:rFonts w:ascii="Times New Roman" w:hAnsi="Times New Roman" w:cs="Times New Roman"/>
                <w:sz w:val="24"/>
                <w:szCs w:val="24"/>
              </w:rPr>
              <w:t>63602326</w:t>
            </w:r>
            <w:r w:rsidR="00195B3F" w:rsidRPr="00195B3F">
              <w:rPr>
                <w:rFonts w:ascii="Times New Roman" w:hAnsi="Times New Roman" w:cs="Times New Roman"/>
                <w:sz w:val="24"/>
                <w:szCs w:val="24"/>
              </w:rPr>
              <w:t xml:space="preserve">, </w:t>
            </w:r>
            <w:r>
              <w:rPr>
                <w:rFonts w:ascii="Times New Roman" w:hAnsi="Times New Roman" w:cs="Times New Roman"/>
                <w:sz w:val="24"/>
                <w:szCs w:val="24"/>
              </w:rPr>
              <w:t>kristine.jansone</w:t>
            </w:r>
            <w:r w:rsidR="00195B3F" w:rsidRPr="00195B3F">
              <w:rPr>
                <w:rFonts w:ascii="Times New Roman" w:hAnsi="Times New Roman" w:cs="Times New Roman"/>
                <w:sz w:val="24"/>
                <w:szCs w:val="24"/>
              </w:rPr>
              <w:t>@vbp.lv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76113146"/>
      <w:r w:rsidRPr="00150241">
        <w:t>INFORMĀCIJA PAR IEPIRKUMA PRIEKŠMETU</w:t>
      </w:r>
      <w:bookmarkEnd w:id="1"/>
    </w:p>
    <w:p w14:paraId="4811B2BA" w14:textId="084BB3F0" w:rsidR="00200224" w:rsidRPr="00A4615B" w:rsidRDefault="00200224"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477280" w:rsidRPr="00477280">
        <w:rPr>
          <w:rFonts w:ascii="Times New Roman" w:eastAsia="Calibri" w:hAnsi="Times New Roman" w:cs="Times New Roman"/>
          <w:sz w:val="24"/>
          <w:szCs w:val="24"/>
        </w:rPr>
        <w:t>Rakstiskās tulkošanas pakalpojumu nodrošināšana</w:t>
      </w:r>
      <w:r w:rsidR="00195B3F" w:rsidRPr="00A4615B">
        <w:rPr>
          <w:rFonts w:ascii="Times New Roman" w:eastAsia="Calibri" w:hAnsi="Times New Roman" w:cs="Times New Roman"/>
          <w:sz w:val="24"/>
          <w:szCs w:val="24"/>
        </w:rPr>
        <w:t xml:space="preserve"> saskaņā ar tehnisko specifikāciju </w:t>
      </w:r>
      <w:r w:rsidRPr="00A4615B">
        <w:rPr>
          <w:rFonts w:ascii="Times New Roman" w:eastAsia="Calibri" w:hAnsi="Times New Roman" w:cs="Times New Roman"/>
          <w:sz w:val="24"/>
          <w:szCs w:val="24"/>
        </w:rPr>
        <w:t>(1.pielikums).</w:t>
      </w:r>
    </w:p>
    <w:p w14:paraId="00AA3AF6" w14:textId="3A4E129E" w:rsidR="00A43F70" w:rsidRPr="00A4615B" w:rsidRDefault="00A43F70" w:rsidP="002A363D">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CPV kods:</w:t>
      </w:r>
      <w:r w:rsidR="002A363D" w:rsidRPr="002A363D">
        <w:t xml:space="preserve"> </w:t>
      </w:r>
      <w:r w:rsidR="002A363D">
        <w:rPr>
          <w:rFonts w:ascii="Times New Roman" w:eastAsia="Calibri" w:hAnsi="Times New Roman" w:cs="Times New Roman"/>
          <w:sz w:val="24"/>
          <w:szCs w:val="24"/>
        </w:rPr>
        <w:t>79530000-8 (R</w:t>
      </w:r>
      <w:r w:rsidR="002A363D" w:rsidRPr="002A363D">
        <w:rPr>
          <w:rFonts w:ascii="Times New Roman" w:eastAsia="Calibri" w:hAnsi="Times New Roman" w:cs="Times New Roman"/>
          <w:sz w:val="24"/>
          <w:szCs w:val="24"/>
        </w:rPr>
        <w:t>akstiskās tulkošanas pakalpojumi).</w:t>
      </w:r>
    </w:p>
    <w:p w14:paraId="0A406F6E" w14:textId="3F8790E6" w:rsidR="000D26B2" w:rsidRPr="00477280" w:rsidRDefault="00200224" w:rsidP="00477280">
      <w:pPr>
        <w:pStyle w:val="ListParagraph"/>
        <w:numPr>
          <w:ilvl w:val="1"/>
          <w:numId w:val="2"/>
        </w:numPr>
        <w:ind w:left="851" w:hanging="425"/>
        <w:jc w:val="both"/>
        <w:rPr>
          <w:rFonts w:ascii="Times New Roman" w:eastAsia="Times New Roman" w:hAnsi="Times New Roman" w:cs="Times New Roman"/>
          <w:sz w:val="24"/>
          <w:szCs w:val="24"/>
          <w:lang w:eastAsia="lv-LV"/>
        </w:rPr>
      </w:pPr>
      <w:r w:rsidRPr="00A4615B">
        <w:rPr>
          <w:rFonts w:ascii="Times New Roman" w:eastAsia="Times New Roman" w:hAnsi="Times New Roman" w:cs="Times New Roman"/>
          <w:b/>
          <w:sz w:val="24"/>
          <w:szCs w:val="24"/>
          <w:lang w:eastAsia="lv-LV"/>
        </w:rPr>
        <w:t>Iepirkuma līguma (turpmāk – Līgums) izpildes termiņš:</w:t>
      </w:r>
      <w:r w:rsidRPr="00A4615B">
        <w:rPr>
          <w:rFonts w:ascii="Times New Roman" w:eastAsia="Times New Roman" w:hAnsi="Times New Roman" w:cs="Times New Roman"/>
          <w:sz w:val="24"/>
          <w:szCs w:val="24"/>
          <w:lang w:eastAsia="lv-LV"/>
        </w:rPr>
        <w:t xml:space="preserve"> </w:t>
      </w:r>
      <w:r w:rsidR="00A4615B" w:rsidRPr="00A4615B">
        <w:rPr>
          <w:rFonts w:ascii="Times New Roman" w:eastAsia="Times New Roman" w:hAnsi="Times New Roman" w:cs="Times New Roman"/>
          <w:sz w:val="24"/>
          <w:szCs w:val="24"/>
          <w:lang w:eastAsia="lv-LV"/>
        </w:rPr>
        <w:t>12</w:t>
      </w:r>
      <w:r w:rsidR="00FC6314">
        <w:rPr>
          <w:rFonts w:ascii="Times New Roman" w:eastAsia="Times New Roman" w:hAnsi="Times New Roman" w:cs="Times New Roman"/>
          <w:sz w:val="24"/>
          <w:szCs w:val="24"/>
          <w:lang w:eastAsia="lv-LV"/>
        </w:rPr>
        <w:t xml:space="preserve"> (divpa</w:t>
      </w:r>
      <w:r w:rsidR="00A4615B" w:rsidRPr="00A4615B">
        <w:rPr>
          <w:rFonts w:ascii="Times New Roman" w:eastAsia="Times New Roman" w:hAnsi="Times New Roman" w:cs="Times New Roman"/>
          <w:sz w:val="24"/>
          <w:szCs w:val="24"/>
          <w:lang w:eastAsia="lv-LV"/>
        </w:rPr>
        <w:t>d</w:t>
      </w:r>
      <w:r w:rsidR="00FC6314">
        <w:rPr>
          <w:rFonts w:ascii="Times New Roman" w:eastAsia="Times New Roman" w:hAnsi="Times New Roman" w:cs="Times New Roman"/>
          <w:sz w:val="24"/>
          <w:szCs w:val="24"/>
          <w:lang w:eastAsia="lv-LV"/>
        </w:rPr>
        <w:t>s</w:t>
      </w:r>
      <w:r w:rsidR="00A4615B" w:rsidRPr="00A4615B">
        <w:rPr>
          <w:rFonts w:ascii="Times New Roman" w:eastAsia="Times New Roman" w:hAnsi="Times New Roman" w:cs="Times New Roman"/>
          <w:sz w:val="24"/>
          <w:szCs w:val="24"/>
          <w:lang w:eastAsia="lv-LV"/>
        </w:rPr>
        <w:t>mit) mēneši no līguma spēkā stāšanās brīža</w:t>
      </w:r>
      <w:r w:rsidR="00477280">
        <w:rPr>
          <w:rFonts w:ascii="Times New Roman" w:eastAsia="Times New Roman" w:hAnsi="Times New Roman" w:cs="Times New Roman"/>
          <w:sz w:val="24"/>
          <w:szCs w:val="24"/>
          <w:lang w:eastAsia="lv-LV"/>
        </w:rPr>
        <w:t>.</w:t>
      </w:r>
    </w:p>
    <w:p w14:paraId="09E09168" w14:textId="77777777" w:rsidR="00200224" w:rsidRPr="00150241" w:rsidRDefault="00200224" w:rsidP="00477280">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6B4CAC80" w14:textId="45F2BE0A" w:rsidR="00E75D9B" w:rsidRPr="00150241" w:rsidRDefault="00E75D9B" w:rsidP="007559CC">
      <w:pPr>
        <w:pStyle w:val="Heading1"/>
        <w:numPr>
          <w:ilvl w:val="0"/>
          <w:numId w:val="4"/>
        </w:numPr>
      </w:pPr>
      <w:bookmarkStart w:id="2" w:name="_Toc76113147"/>
      <w:r w:rsidRPr="00150241">
        <w:lastRenderedPageBreak/>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4802969D"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58DF7ED4" w14:textId="77777777" w:rsidR="00477280" w:rsidRPr="00477280"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Pretendenta pieteikums (2.pielikums);</w:t>
      </w:r>
    </w:p>
    <w:p w14:paraId="62A79F1E" w14:textId="1E14387D" w:rsidR="00477280" w:rsidRDefault="00477280"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(3.pielikums);</w:t>
      </w:r>
    </w:p>
    <w:p w14:paraId="2989F162" w14:textId="7A0F0A09" w:rsidR="00755459" w:rsidRPr="00477280"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Apakšuzņēmēju saraksts un apakšuzņēmēju apliecinājums (</w:t>
      </w:r>
      <w:r w:rsidR="00477280">
        <w:rPr>
          <w:rFonts w:ascii="Times New Roman" w:eastAsia="Times New Roman" w:hAnsi="Times New Roman" w:cs="Times New Roman"/>
          <w:sz w:val="24"/>
          <w:szCs w:val="24"/>
        </w:rPr>
        <w:t>4</w:t>
      </w:r>
      <w:r w:rsidRPr="00477280">
        <w:rPr>
          <w:rFonts w:ascii="Times New Roman" w:eastAsia="Times New Roman" w:hAnsi="Times New Roman" w:cs="Times New Roman"/>
          <w:sz w:val="24"/>
          <w:szCs w:val="24"/>
        </w:rPr>
        <w:t>.pielikums)</w:t>
      </w:r>
      <w:r w:rsidR="00477280">
        <w:rPr>
          <w:rFonts w:ascii="Times New Roman" w:eastAsia="Times New Roman" w:hAnsi="Times New Roman" w:cs="Times New Roman"/>
          <w:sz w:val="24"/>
          <w:szCs w:val="24"/>
        </w:rPr>
        <w:t>.</w:t>
      </w:r>
    </w:p>
    <w:p w14:paraId="03337EC7" w14:textId="3E339ECD"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C814FB">
        <w:rPr>
          <w:rFonts w:ascii="Times New Roman" w:eastAsia="Times New Roman" w:hAnsi="Times New Roman" w:cs="Times New Roman"/>
          <w:b/>
          <w:bCs/>
          <w:color w:val="000000"/>
          <w:sz w:val="24"/>
          <w:szCs w:val="24"/>
        </w:rPr>
        <w:t>16.jūlijam</w:t>
      </w:r>
      <w:r w:rsidR="00195B3F">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Pr="00150241">
        <w:rPr>
          <w:rFonts w:ascii="Times New Roman" w:eastAsia="Times New Roman" w:hAnsi="Times New Roman" w:cs="Times New Roman"/>
          <w:b/>
          <w:sz w:val="24"/>
          <w:szCs w:val="24"/>
        </w:rPr>
        <w:t>6 (sešus) kalendāros mēnešus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3" w:name="_Toc76113148"/>
      <w:bookmarkStart w:id="4" w:name="_Toc380415501"/>
      <w:r w:rsidRPr="00150241">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150241">
        <w:rPr>
          <w:rFonts w:ascii="Times New Roman" w:hAnsi="Times New Roman" w:cs="Times New Roman"/>
          <w:sz w:val="24"/>
          <w:szCs w:val="24"/>
        </w:rPr>
        <w:lastRenderedPageBreak/>
        <w:t>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5" w:name="_Toc76113149"/>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6" w:name="_Toc76113150"/>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ED76E0"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2B47D91" w:rsidR="00000B87" w:rsidRPr="003410A3" w:rsidRDefault="00000B87" w:rsidP="00335BCF">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335BCF">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ED76E0"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477280" w:rsidRPr="00953A15" w14:paraId="4D8A1F2A" w14:textId="77777777" w:rsidTr="002758B7">
        <w:tc>
          <w:tcPr>
            <w:tcW w:w="4340" w:type="dxa"/>
          </w:tcPr>
          <w:p w14:paraId="4DEAE917" w14:textId="1AE9B0EC" w:rsidR="00477280" w:rsidRPr="00477280" w:rsidRDefault="00477280" w:rsidP="00CB7B3C">
            <w:pPr>
              <w:pStyle w:val="ListParagraph"/>
              <w:numPr>
                <w:ilvl w:val="2"/>
                <w:numId w:val="9"/>
              </w:numPr>
              <w:tabs>
                <w:tab w:val="left" w:pos="313"/>
              </w:tabs>
              <w:ind w:left="29" w:hanging="29"/>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(2018. - 2021.gads līdz piedāvājuma iesniegšanas termiņa pēdējai dienai) jābūt veiktiem 2 (diviem) iepirkumam līdzīga rakstura darbiem – </w:t>
            </w:r>
            <w:r>
              <w:rPr>
                <w:rFonts w:ascii="Times New Roman" w:eastAsia="Times New Roman" w:hAnsi="Times New Roman" w:cs="Times New Roman"/>
                <w:i/>
                <w:sz w:val="24"/>
                <w:szCs w:val="24"/>
                <w:lang w:eastAsia="lv-LV"/>
              </w:rPr>
              <w:t>rakstiskā</w:t>
            </w:r>
            <w:r w:rsidR="00A333F8">
              <w:rPr>
                <w:rFonts w:ascii="Times New Roman" w:eastAsia="Times New Roman" w:hAnsi="Times New Roman" w:cs="Times New Roman"/>
                <w:i/>
                <w:sz w:val="24"/>
                <w:szCs w:val="24"/>
                <w:lang w:eastAsia="lv-LV"/>
              </w:rPr>
              <w:t>s</w:t>
            </w:r>
            <w:r>
              <w:rPr>
                <w:rFonts w:ascii="Times New Roman" w:eastAsia="Times New Roman" w:hAnsi="Times New Roman" w:cs="Times New Roman"/>
                <w:i/>
                <w:sz w:val="24"/>
                <w:szCs w:val="24"/>
                <w:lang w:eastAsia="lv-LV"/>
              </w:rPr>
              <w:t xml:space="preserve"> tulkošana</w:t>
            </w:r>
            <w:r w:rsidR="00A333F8">
              <w:rPr>
                <w:rFonts w:ascii="Times New Roman" w:eastAsia="Times New Roman" w:hAnsi="Times New Roman" w:cs="Times New Roman"/>
                <w:i/>
                <w:sz w:val="24"/>
                <w:szCs w:val="24"/>
                <w:lang w:eastAsia="lv-LV"/>
              </w:rPr>
              <w:t>s pakalpojumu nodrošināšana</w:t>
            </w:r>
            <w:r w:rsidR="00CB7B3C">
              <w:rPr>
                <w:rFonts w:ascii="Times New Roman" w:eastAsia="Times New Roman" w:hAnsi="Times New Roman" w:cs="Times New Roman"/>
                <w:i/>
                <w:sz w:val="24"/>
                <w:szCs w:val="24"/>
                <w:lang w:eastAsia="lv-LV"/>
              </w:rPr>
              <w:t>.</w:t>
            </w:r>
          </w:p>
        </w:tc>
        <w:tc>
          <w:tcPr>
            <w:tcW w:w="4341" w:type="dxa"/>
          </w:tcPr>
          <w:p w14:paraId="0548F6E0" w14:textId="2262800E" w:rsidR="00477280" w:rsidRPr="00477280" w:rsidRDefault="00477280" w:rsidP="00477280">
            <w:pPr>
              <w:pStyle w:val="ListParagraph"/>
              <w:numPr>
                <w:ilvl w:val="2"/>
                <w:numId w:val="7"/>
              </w:numPr>
              <w:tabs>
                <w:tab w:val="left" w:pos="0"/>
              </w:tabs>
              <w:ind w:left="0" w:firstLine="0"/>
              <w:jc w:val="both"/>
              <w:rPr>
                <w:rFonts w:ascii="Times New Roman" w:eastAsia="Times New Roman" w:hAnsi="Times New Roman" w:cs="Times New Roman"/>
                <w:iCs/>
                <w:sz w:val="24"/>
                <w:szCs w:val="24"/>
                <w:lang w:eastAsia="lv-LV"/>
              </w:rPr>
            </w:pPr>
            <w:r w:rsidRPr="00477280">
              <w:rPr>
                <w:rFonts w:ascii="Times New Roman" w:hAnsi="Times New Roman" w:cs="Times New Roman"/>
                <w:b/>
                <w:sz w:val="24"/>
                <w:szCs w:val="24"/>
              </w:rPr>
              <w:t>Izpildīto darbu saraksts</w:t>
            </w:r>
            <w:r w:rsidRPr="00477280">
              <w:rPr>
                <w:rFonts w:ascii="Times New Roman" w:hAnsi="Times New Roman" w:cs="Times New Roman"/>
                <w:sz w:val="24"/>
                <w:szCs w:val="24"/>
              </w:rPr>
              <w:t xml:space="preserve"> saskaņā ar šī nolikuma </w:t>
            </w:r>
            <w:r w:rsidRPr="00477280">
              <w:rPr>
                <w:rFonts w:ascii="Times New Roman" w:hAnsi="Times New Roman" w:cs="Times New Roman"/>
                <w:b/>
                <w:sz w:val="24"/>
                <w:szCs w:val="24"/>
              </w:rPr>
              <w:t>3.pielikumu</w:t>
            </w:r>
            <w:r w:rsidRPr="00477280">
              <w:rPr>
                <w:rFonts w:ascii="Times New Roman" w:hAnsi="Times New Roman" w:cs="Times New Roman"/>
                <w:sz w:val="24"/>
                <w:szCs w:val="24"/>
              </w:rPr>
              <w:t xml:space="preserve">, norādot </w:t>
            </w:r>
            <w:r w:rsidRPr="00477280">
              <w:rPr>
                <w:rFonts w:ascii="Times New Roman" w:eastAsia="Times New Roman" w:hAnsi="Times New Roman" w:cs="Times New Roman"/>
                <w:sz w:val="24"/>
                <w:szCs w:val="24"/>
                <w:lang w:eastAsia="lv-LV"/>
              </w:rPr>
              <w:t xml:space="preserve">Iepriekšējo 3 (trīs) gadu laikā (2018. - 2021.gads līdz piedāvājuma iesniegšanas termiņa beigām) </w:t>
            </w:r>
            <w:r>
              <w:rPr>
                <w:rFonts w:ascii="Times New Roman" w:eastAsia="Calibri" w:hAnsi="Times New Roman" w:cs="Times New Roman"/>
                <w:sz w:val="24"/>
                <w:szCs w:val="24"/>
              </w:rPr>
              <w:t>sniegtos</w:t>
            </w:r>
            <w:r w:rsidRPr="00477280">
              <w:rPr>
                <w:rFonts w:ascii="Times New Roman" w:eastAsia="Calibri" w:hAnsi="Times New Roman" w:cs="Times New Roman"/>
                <w:sz w:val="24"/>
                <w:szCs w:val="24"/>
              </w:rPr>
              <w:t xml:space="preserve"> </w:t>
            </w:r>
            <w:r>
              <w:rPr>
                <w:rFonts w:ascii="Times New Roman" w:eastAsia="Calibri" w:hAnsi="Times New Roman" w:cs="Times New Roman"/>
                <w:i/>
                <w:sz w:val="24"/>
                <w:szCs w:val="24"/>
              </w:rPr>
              <w:t>rakstiskās tulkošanas pakalpojumus</w:t>
            </w:r>
            <w:r>
              <w:rPr>
                <w:rFonts w:ascii="Times New Roman" w:eastAsia="Calibri" w:hAnsi="Times New Roman" w:cs="Times New Roman"/>
                <w:sz w:val="24"/>
                <w:szCs w:val="24"/>
              </w:rPr>
              <w:t>.</w:t>
            </w:r>
          </w:p>
          <w:p w14:paraId="47FCEFD8" w14:textId="7CFD9F10" w:rsidR="00477280" w:rsidRPr="00477280" w:rsidRDefault="00477280" w:rsidP="00477280">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3.pielikumā </w:t>
            </w:r>
            <w:r w:rsidRPr="00FD70BA">
              <w:rPr>
                <w:rFonts w:ascii="Times New Roman" w:eastAsia="Times New Roman" w:hAnsi="Times New Roman" w:cs="Times New Roman"/>
                <w:iCs/>
                <w:sz w:val="24"/>
                <w:szCs w:val="24"/>
                <w:lang w:eastAsia="lv-LV"/>
              </w:rPr>
              <w:lastRenderedPageBreak/>
              <w:t>norādītā pasūtītāja par sniegtajiem pakalpojumiem.</w:t>
            </w:r>
          </w:p>
        </w:tc>
      </w:tr>
      <w:tr w:rsidR="00477280" w:rsidRPr="00953A15" w14:paraId="18985BCC" w14:textId="77777777" w:rsidTr="002758B7">
        <w:tc>
          <w:tcPr>
            <w:tcW w:w="4340" w:type="dxa"/>
          </w:tcPr>
          <w:p w14:paraId="438046AB" w14:textId="00EB010B" w:rsidR="00477280" w:rsidRPr="00E165AD" w:rsidRDefault="00477280"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E165AD">
              <w:rPr>
                <w:rFonts w:ascii="Times New Roman" w:eastAsia="Times New Roman" w:hAnsi="Times New Roman" w:cs="Times New Roman"/>
                <w:sz w:val="24"/>
                <w:szCs w:val="24"/>
                <w:lang w:eastAsia="lv-LV"/>
              </w:rPr>
              <w:lastRenderedPageBreak/>
              <w:t>Pretendenta rīcībā jābūt tulkotājam/</w:t>
            </w:r>
            <w:proofErr w:type="spellStart"/>
            <w:r w:rsidRPr="00E165AD">
              <w:rPr>
                <w:rFonts w:ascii="Times New Roman" w:eastAsia="Times New Roman" w:hAnsi="Times New Roman" w:cs="Times New Roman"/>
                <w:sz w:val="24"/>
                <w:szCs w:val="24"/>
                <w:lang w:eastAsia="lv-LV"/>
              </w:rPr>
              <w:t>iem</w:t>
            </w:r>
            <w:proofErr w:type="spellEnd"/>
            <w:r w:rsidRPr="00E165AD">
              <w:rPr>
                <w:rFonts w:ascii="Times New Roman" w:eastAsia="Times New Roman" w:hAnsi="Times New Roman" w:cs="Times New Roman"/>
                <w:sz w:val="24"/>
                <w:szCs w:val="24"/>
                <w:lang w:eastAsia="lv-LV"/>
              </w:rPr>
              <w:t>, kuram/</w:t>
            </w:r>
            <w:proofErr w:type="spellStart"/>
            <w:r w:rsidRPr="00E165AD">
              <w:rPr>
                <w:rFonts w:ascii="Times New Roman" w:eastAsia="Times New Roman" w:hAnsi="Times New Roman" w:cs="Times New Roman"/>
                <w:sz w:val="24"/>
                <w:szCs w:val="24"/>
                <w:lang w:eastAsia="lv-LV"/>
              </w:rPr>
              <w:t>iem</w:t>
            </w:r>
            <w:proofErr w:type="spellEnd"/>
            <w:r w:rsidRPr="00E165AD">
              <w:rPr>
                <w:rFonts w:ascii="Times New Roman" w:eastAsia="Times New Roman" w:hAnsi="Times New Roman" w:cs="Times New Roman"/>
                <w:sz w:val="24"/>
                <w:szCs w:val="24"/>
                <w:lang w:eastAsia="lv-LV"/>
              </w:rPr>
              <w:t xml:space="preserve"> iegūts vismaz bakalaura grāds vai otrā līmeņa augstākā profesionālā izglītība tulkošanā attiecīgajā svešvalodā (angļu, krievu, ķīniešu, vācu) vai attiecīgās svešvalodas filoloģijā (angļu, krievu, ķīniešu, vācu).</w:t>
            </w:r>
          </w:p>
        </w:tc>
        <w:tc>
          <w:tcPr>
            <w:tcW w:w="4341" w:type="dxa"/>
          </w:tcPr>
          <w:p w14:paraId="2B23D468" w14:textId="0CA46249" w:rsidR="00477280" w:rsidRPr="00E165AD" w:rsidRDefault="00C17A14" w:rsidP="00E165AD">
            <w:pPr>
              <w:pStyle w:val="ListParagraph"/>
              <w:numPr>
                <w:ilvl w:val="2"/>
                <w:numId w:val="7"/>
              </w:numPr>
              <w:ind w:left="0" w:firstLine="0"/>
              <w:contextualSpacing w:val="0"/>
              <w:jc w:val="both"/>
              <w:rPr>
                <w:rFonts w:ascii="Times New Roman" w:eastAsia="Calibri" w:hAnsi="Times New Roman" w:cs="Times New Roman"/>
                <w:bCs/>
                <w:sz w:val="24"/>
                <w:szCs w:val="24"/>
              </w:rPr>
            </w:pPr>
            <w:r w:rsidRPr="00E165AD">
              <w:rPr>
                <w:rFonts w:ascii="Times New Roman" w:eastAsia="Calibri" w:hAnsi="Times New Roman" w:cs="Times New Roman"/>
                <w:bCs/>
                <w:sz w:val="24"/>
                <w:szCs w:val="24"/>
              </w:rPr>
              <w:t>P</w:t>
            </w:r>
            <w:r w:rsidR="00C814FB">
              <w:rPr>
                <w:rFonts w:ascii="Times New Roman" w:eastAsia="Calibri" w:hAnsi="Times New Roman" w:cs="Times New Roman"/>
                <w:bCs/>
                <w:sz w:val="24"/>
                <w:szCs w:val="24"/>
              </w:rPr>
              <w:t>retendentam jāiesniedz tulkotāja</w:t>
            </w:r>
            <w:r w:rsidR="00ED76E0">
              <w:rPr>
                <w:rFonts w:ascii="Times New Roman" w:eastAsia="Calibri" w:hAnsi="Times New Roman" w:cs="Times New Roman"/>
                <w:bCs/>
                <w:sz w:val="24"/>
                <w:szCs w:val="24"/>
              </w:rPr>
              <w:t xml:space="preserve"> </w:t>
            </w:r>
            <w:r w:rsidRPr="00E165AD">
              <w:rPr>
                <w:rFonts w:ascii="Times New Roman" w:eastAsia="Calibri" w:hAnsi="Times New Roman" w:cs="Times New Roman"/>
                <w:bCs/>
                <w:sz w:val="24"/>
                <w:szCs w:val="24"/>
              </w:rPr>
              <w:t xml:space="preserve"> izglītību apliecinoša dokumenta kopija</w:t>
            </w:r>
            <w:r w:rsidR="00E165AD" w:rsidRPr="00E165AD">
              <w:rPr>
                <w:rFonts w:ascii="Times New Roman" w:eastAsia="Calibri" w:hAnsi="Times New Roman" w:cs="Times New Roman"/>
                <w:bCs/>
                <w:sz w:val="24"/>
                <w:szCs w:val="24"/>
              </w:rPr>
              <w:t>.</w:t>
            </w:r>
          </w:p>
        </w:tc>
      </w:tr>
      <w:tr w:rsidR="00000B87" w:rsidRPr="00953A15" w14:paraId="209E9B4E" w14:textId="77777777" w:rsidTr="002758B7">
        <w:tc>
          <w:tcPr>
            <w:tcW w:w="4340" w:type="dxa"/>
          </w:tcPr>
          <w:p w14:paraId="53B39367" w14:textId="06EE825A" w:rsidR="00000B87" w:rsidRPr="00953A15" w:rsidRDefault="00000B87"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5D76B1B2" w:rsidR="00000B87" w:rsidRPr="00953A15" w:rsidRDefault="00000B87" w:rsidP="00477280">
            <w:pPr>
              <w:pStyle w:val="ListParagraph"/>
              <w:numPr>
                <w:ilvl w:val="2"/>
                <w:numId w:val="7"/>
              </w:numPr>
              <w:ind w:left="0"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477280">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4F72F053" w:rsidR="00000B87" w:rsidRDefault="00000B87" w:rsidP="00477280">
            <w:pPr>
              <w:pStyle w:val="ListParagraph"/>
              <w:numPr>
                <w:ilvl w:val="2"/>
                <w:numId w:val="9"/>
              </w:numPr>
              <w:tabs>
                <w:tab w:val="left" w:pos="171"/>
              </w:tabs>
              <w:ind w:left="0" w:firstLine="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0C9E931" w:rsidR="00000B87" w:rsidRPr="00953A15" w:rsidRDefault="00000B87" w:rsidP="00477280">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7" w:name="_Toc76113151"/>
      <w:r w:rsidRPr="00150241">
        <w:lastRenderedPageBreak/>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8" w:name="_Toc76113152"/>
      <w:r w:rsidRPr="00150241">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w:t>
      </w:r>
      <w:bookmarkStart w:id="9" w:name="_GoBack"/>
      <w:bookmarkEnd w:id="9"/>
      <w:r w:rsidRPr="00150241">
        <w:rPr>
          <w:rFonts w:ascii="Times New Roman" w:hAnsi="Times New Roman" w:cs="Times New Roman"/>
          <w:sz w:val="24"/>
          <w:szCs w:val="24"/>
          <w:lang w:eastAsia="x-none"/>
        </w:rPr>
        <w:t>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0" w:name="_Toc76113153"/>
      <w:r w:rsidRPr="00150241">
        <w:t>PIEDĀVĀJUMA IESNIEGŠANA UN ATVĒRŠANA</w:t>
      </w:r>
      <w:bookmarkEnd w:id="10"/>
    </w:p>
    <w:p w14:paraId="5096CA24" w14:textId="6A98B000"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C814FB">
        <w:rPr>
          <w:rFonts w:ascii="Times New Roman" w:hAnsi="Times New Roman" w:cs="Times New Roman"/>
          <w:b/>
          <w:bCs/>
          <w:sz w:val="24"/>
          <w:szCs w:val="24"/>
        </w:rPr>
        <w:t>16.jūlijam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77F7B3F3"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C814FB">
        <w:rPr>
          <w:rFonts w:ascii="Times New Roman" w:hAnsi="Times New Roman" w:cs="Times New Roman"/>
          <w:b/>
          <w:sz w:val="24"/>
          <w:szCs w:val="24"/>
        </w:rPr>
        <w:t>16.jūlijā</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w:t>
      </w:r>
      <w:r w:rsidRPr="00150241">
        <w:rPr>
          <w:rFonts w:ascii="Times New Roman" w:hAnsi="Times New Roman" w:cs="Times New Roman"/>
          <w:sz w:val="24"/>
          <w:szCs w:val="24"/>
        </w:rPr>
        <w:lastRenderedPageBreak/>
        <w:t>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1" w:name="_Toc76113154"/>
      <w:r w:rsidRPr="00150241">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līdz piedāvājuma beigu termiņam Pretendenta iesniegtie piedāvājuma dokumenti neapstiprinās Pretendenta atbilstību Pretendenta atlases prasībām, ja </w:t>
      </w:r>
      <w:r w:rsidRPr="00150241">
        <w:rPr>
          <w:lang w:val="lv-LV"/>
        </w:rPr>
        <w:lastRenderedPageBreak/>
        <w:t>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150241">
        <w:rPr>
          <w:lang w:val="lv-LV"/>
        </w:rPr>
        <w:t>euro</w:t>
      </w:r>
      <w:proofErr w:type="spellEnd"/>
      <w:r w:rsidRPr="00150241">
        <w:rPr>
          <w:lang w:val="lv-LV"/>
        </w:rPr>
        <w:t xml:space="preserve">. Ja nodokļu parādi pārsniedz 150 </w:t>
      </w:r>
      <w:proofErr w:type="spellStart"/>
      <w:r w:rsidRPr="00150241">
        <w:rPr>
          <w:lang w:val="lv-LV"/>
        </w:rPr>
        <w:t>euro</w:t>
      </w:r>
      <w:proofErr w:type="spellEnd"/>
      <w:r w:rsidRPr="00150241">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150241">
        <w:rPr>
          <w:lang w:val="lv-LV"/>
        </w:rPr>
        <w:t>euro</w:t>
      </w:r>
      <w:proofErr w:type="spellEnd"/>
      <w:r w:rsidRPr="00150241">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150241">
        <w:rPr>
          <w:lang w:val="lv-LV"/>
        </w:rPr>
        <w:t>pārstāvēttiesīgo</w:t>
      </w:r>
      <w:proofErr w:type="spellEnd"/>
      <w:r w:rsidRPr="00150241">
        <w:rPr>
          <w:lang w:val="lv-LV"/>
        </w:rPr>
        <w:t xml:space="preserve"> personu vai </w:t>
      </w:r>
      <w:r w:rsidRPr="00150241">
        <w:rPr>
          <w:lang w:val="lv-LV"/>
        </w:rPr>
        <w:lastRenderedPageBreak/>
        <w:t xml:space="preserve">prokūristu vai personu, kura ir pilnvarota pārstāvēt kandidātu vai Pretendentu darbībās, kas saistītas ar filiāli, vai personālsabiedrības biedru, tā valdes un padomes locekli, patiesā labuma guvēju, </w:t>
      </w:r>
      <w:proofErr w:type="spellStart"/>
      <w:r w:rsidRPr="00150241">
        <w:rPr>
          <w:lang w:val="lv-LV"/>
        </w:rPr>
        <w:t>pārstāvēttiesīgo</w:t>
      </w:r>
      <w:proofErr w:type="spellEnd"/>
      <w:r w:rsidRPr="0015024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2" w:name="_Toc76113155"/>
      <w:r w:rsidRPr="00150241">
        <w:t>IEPIRKUMA LĪGUMA SLĒGŠANA</w:t>
      </w:r>
      <w:bookmarkEnd w:id="12"/>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CCB837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2"/>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497C"/>
    <w:rsid w:val="00294BAB"/>
    <w:rsid w:val="002971AC"/>
    <w:rsid w:val="002A363D"/>
    <w:rsid w:val="002B04F2"/>
    <w:rsid w:val="002B208F"/>
    <w:rsid w:val="002C4336"/>
    <w:rsid w:val="002D6FCA"/>
    <w:rsid w:val="002E2C73"/>
    <w:rsid w:val="002E3F5C"/>
    <w:rsid w:val="002E64EF"/>
    <w:rsid w:val="002E749B"/>
    <w:rsid w:val="002E7F4C"/>
    <w:rsid w:val="002F573D"/>
    <w:rsid w:val="00300303"/>
    <w:rsid w:val="003022D0"/>
    <w:rsid w:val="00306AA2"/>
    <w:rsid w:val="003341E8"/>
    <w:rsid w:val="00335BCF"/>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756D7"/>
    <w:rsid w:val="00477280"/>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D5CB0"/>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02B5"/>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14FF5"/>
    <w:rsid w:val="00836C96"/>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CD5"/>
    <w:rsid w:val="00961E30"/>
    <w:rsid w:val="00963ABD"/>
    <w:rsid w:val="00963F56"/>
    <w:rsid w:val="00964093"/>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3F8"/>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4D83"/>
    <w:rsid w:val="00BE5E11"/>
    <w:rsid w:val="00BF2F78"/>
    <w:rsid w:val="00BF309E"/>
    <w:rsid w:val="00BF4201"/>
    <w:rsid w:val="00BF5703"/>
    <w:rsid w:val="00BF78A2"/>
    <w:rsid w:val="00C04711"/>
    <w:rsid w:val="00C04E2A"/>
    <w:rsid w:val="00C164CC"/>
    <w:rsid w:val="00C17A14"/>
    <w:rsid w:val="00C2308C"/>
    <w:rsid w:val="00C23E9E"/>
    <w:rsid w:val="00C4185C"/>
    <w:rsid w:val="00C53397"/>
    <w:rsid w:val="00C56E8B"/>
    <w:rsid w:val="00C64D92"/>
    <w:rsid w:val="00C652F6"/>
    <w:rsid w:val="00C7264E"/>
    <w:rsid w:val="00C814FB"/>
    <w:rsid w:val="00C84CCA"/>
    <w:rsid w:val="00C86CB6"/>
    <w:rsid w:val="00C873F7"/>
    <w:rsid w:val="00C9294A"/>
    <w:rsid w:val="00C92AB0"/>
    <w:rsid w:val="00C93D14"/>
    <w:rsid w:val="00CA0D67"/>
    <w:rsid w:val="00CA7630"/>
    <w:rsid w:val="00CB2A26"/>
    <w:rsid w:val="00CB7B3C"/>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6B8A"/>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165AD"/>
    <w:rsid w:val="00E2056F"/>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D76E0"/>
    <w:rsid w:val="00EE1B35"/>
    <w:rsid w:val="00EE78FD"/>
    <w:rsid w:val="00EE7EF0"/>
    <w:rsid w:val="00F013C1"/>
    <w:rsid w:val="00F11A46"/>
    <w:rsid w:val="00F16351"/>
    <w:rsid w:val="00F232C6"/>
    <w:rsid w:val="00F2712B"/>
    <w:rsid w:val="00F367F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949"/>
    <w:rsid w:val="00FC6314"/>
    <w:rsid w:val="00FC74F5"/>
    <w:rsid w:val="00FD03E5"/>
    <w:rsid w:val="00FD07E0"/>
    <w:rsid w:val="00FD1B4A"/>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47B9-3E3C-4CFD-A48C-3EC863F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4724</Words>
  <Characters>26931</Characters>
  <Application>Microsoft Office Word</Application>
  <DocSecurity>0</DocSecurity>
  <Lines>224</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31</cp:revision>
  <cp:lastPrinted>2020-01-22T13:56:00Z</cp:lastPrinted>
  <dcterms:created xsi:type="dcterms:W3CDTF">2021-05-24T10:05:00Z</dcterms:created>
  <dcterms:modified xsi:type="dcterms:W3CDTF">2021-07-06T11:10:00Z</dcterms:modified>
</cp:coreProperties>
</file>