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23115DF"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837275">
        <w:rPr>
          <w:rFonts w:ascii="Times New Roman" w:eastAsia="Times New Roman" w:hAnsi="Times New Roman" w:cs="Times New Roman"/>
          <w:color w:val="000000"/>
          <w:sz w:val="24"/>
          <w:szCs w:val="24"/>
        </w:rPr>
        <w:t>2</w:t>
      </w:r>
      <w:r w:rsidR="002A260D">
        <w:rPr>
          <w:rFonts w:ascii="Times New Roman" w:eastAsia="Times New Roman" w:hAnsi="Times New Roman" w:cs="Times New Roman"/>
          <w:color w:val="000000"/>
          <w:sz w:val="24"/>
          <w:szCs w:val="24"/>
        </w:rPr>
        <w:t>8</w:t>
      </w:r>
      <w:r w:rsidR="00837275">
        <w:rPr>
          <w:rFonts w:ascii="Times New Roman" w:eastAsia="Times New Roman" w:hAnsi="Times New Roman" w:cs="Times New Roman"/>
          <w:color w:val="000000"/>
          <w:sz w:val="24"/>
          <w:szCs w:val="24"/>
        </w:rPr>
        <w:t>.septembra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7583DC1"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Videonovērošanas sistēm</w:t>
      </w:r>
      <w:r w:rsidR="009451C0">
        <w:rPr>
          <w:b/>
          <w:sz w:val="48"/>
          <w:szCs w:val="48"/>
        </w:rPr>
        <w:t>as</w:t>
      </w:r>
      <w:r w:rsidR="0059516B" w:rsidRPr="0059516B">
        <w:rPr>
          <w:b/>
          <w:sz w:val="48"/>
          <w:szCs w:val="48"/>
        </w:rPr>
        <w:t xml:space="preserve"> </w:t>
      </w:r>
      <w:r w:rsidR="002A62A0">
        <w:rPr>
          <w:b/>
          <w:sz w:val="48"/>
          <w:szCs w:val="48"/>
        </w:rPr>
        <w:t>komponenšu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3B65D73"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59516B">
        <w:rPr>
          <w:rFonts w:ascii="Times New Roman" w:hAnsi="Times New Roman" w:cs="Times New Roman"/>
          <w:b/>
          <w:sz w:val="36"/>
          <w:szCs w:val="48"/>
        </w:rPr>
        <w:t>95</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6F03526" w14:textId="77777777" w:rsidR="004B228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3216217" w:history="1">
        <w:r w:rsidR="004B228A" w:rsidRPr="00D77E08">
          <w:rPr>
            <w:rStyle w:val="Hyperlink"/>
            <w:noProof/>
          </w:rPr>
          <w:t>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VISPĀRĪGA INFORMĀCIJA</w:t>
        </w:r>
        <w:r w:rsidR="004B228A">
          <w:rPr>
            <w:noProof/>
            <w:webHidden/>
          </w:rPr>
          <w:tab/>
        </w:r>
        <w:r w:rsidR="004B228A">
          <w:rPr>
            <w:noProof/>
            <w:webHidden/>
          </w:rPr>
          <w:fldChar w:fldCharType="begin"/>
        </w:r>
        <w:r w:rsidR="004B228A">
          <w:rPr>
            <w:noProof/>
            <w:webHidden/>
          </w:rPr>
          <w:instrText xml:space="preserve"> PAGEREF _Toc83216217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48339B6A"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18" w:history="1">
        <w:r w:rsidR="004B228A" w:rsidRPr="00D77E08">
          <w:rPr>
            <w:rStyle w:val="Hyperlink"/>
            <w:bCs/>
            <w:noProof/>
          </w:rPr>
          <w:t>2.</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INFORMĀCIJA PAR IEPIRKUMA PRIEKŠMETU</w:t>
        </w:r>
        <w:r w:rsidR="004B228A">
          <w:rPr>
            <w:noProof/>
            <w:webHidden/>
          </w:rPr>
          <w:tab/>
        </w:r>
        <w:r w:rsidR="004B228A">
          <w:rPr>
            <w:noProof/>
            <w:webHidden/>
          </w:rPr>
          <w:fldChar w:fldCharType="begin"/>
        </w:r>
        <w:r w:rsidR="004B228A">
          <w:rPr>
            <w:noProof/>
            <w:webHidden/>
          </w:rPr>
          <w:instrText xml:space="preserve"> PAGEREF _Toc83216218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7EDE1C94"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19" w:history="1">
        <w:r w:rsidR="004B228A" w:rsidRPr="00D77E08">
          <w:rPr>
            <w:rStyle w:val="Hyperlink"/>
            <w:noProof/>
          </w:rPr>
          <w:t>3.</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PROCEDŪRAS DOKUMENTI</w:t>
        </w:r>
        <w:r w:rsidR="004B228A">
          <w:rPr>
            <w:noProof/>
            <w:webHidden/>
          </w:rPr>
          <w:tab/>
        </w:r>
        <w:r w:rsidR="004B228A">
          <w:rPr>
            <w:noProof/>
            <w:webHidden/>
          </w:rPr>
          <w:fldChar w:fldCharType="begin"/>
        </w:r>
        <w:r w:rsidR="004B228A">
          <w:rPr>
            <w:noProof/>
            <w:webHidden/>
          </w:rPr>
          <w:instrText xml:space="preserve"> PAGEREF _Toc83216219 \h </w:instrText>
        </w:r>
        <w:r w:rsidR="004B228A">
          <w:rPr>
            <w:noProof/>
            <w:webHidden/>
          </w:rPr>
        </w:r>
        <w:r w:rsidR="004B228A">
          <w:rPr>
            <w:noProof/>
            <w:webHidden/>
          </w:rPr>
          <w:fldChar w:fldCharType="separate"/>
        </w:r>
        <w:r w:rsidR="004B228A">
          <w:rPr>
            <w:noProof/>
            <w:webHidden/>
          </w:rPr>
          <w:t>4</w:t>
        </w:r>
        <w:r w:rsidR="004B228A">
          <w:rPr>
            <w:noProof/>
            <w:webHidden/>
          </w:rPr>
          <w:fldChar w:fldCharType="end"/>
        </w:r>
      </w:hyperlink>
    </w:p>
    <w:p w14:paraId="29FB4943"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0" w:history="1">
        <w:r w:rsidR="004B228A" w:rsidRPr="00D77E08">
          <w:rPr>
            <w:rStyle w:val="Hyperlink"/>
            <w:noProof/>
          </w:rPr>
          <w:t>4.</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DALĪBAS NOSACĪJUMI IEPIRKUMA PROCEDŪRĀ</w:t>
        </w:r>
        <w:r w:rsidR="004B228A">
          <w:rPr>
            <w:noProof/>
            <w:webHidden/>
          </w:rPr>
          <w:tab/>
        </w:r>
        <w:r w:rsidR="004B228A">
          <w:rPr>
            <w:noProof/>
            <w:webHidden/>
          </w:rPr>
          <w:fldChar w:fldCharType="begin"/>
        </w:r>
        <w:r w:rsidR="004B228A">
          <w:rPr>
            <w:noProof/>
            <w:webHidden/>
          </w:rPr>
          <w:instrText xml:space="preserve"> PAGEREF _Toc83216220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28364D9B"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1" w:history="1">
        <w:r w:rsidR="004B228A" w:rsidRPr="00D77E08">
          <w:rPr>
            <w:rStyle w:val="Hyperlink"/>
            <w:noProof/>
          </w:rPr>
          <w:t>5.</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IESNIEDZAMIE DOKUMENTI:</w:t>
        </w:r>
        <w:r w:rsidR="004B228A">
          <w:rPr>
            <w:noProof/>
            <w:webHidden/>
          </w:rPr>
          <w:tab/>
        </w:r>
        <w:r w:rsidR="004B228A">
          <w:rPr>
            <w:noProof/>
            <w:webHidden/>
          </w:rPr>
          <w:fldChar w:fldCharType="begin"/>
        </w:r>
        <w:r w:rsidR="004B228A">
          <w:rPr>
            <w:noProof/>
            <w:webHidden/>
          </w:rPr>
          <w:instrText xml:space="preserve"> PAGEREF _Toc83216221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464C0AFA"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2" w:history="1">
        <w:r w:rsidR="004B228A" w:rsidRPr="00D77E08">
          <w:rPr>
            <w:rStyle w:val="Hyperlink"/>
            <w:noProof/>
          </w:rPr>
          <w:t>6.</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PRETENDENTU KVALIFIKĀCIJAS PRASĪBAS / DALĪBAS NOSACĪJUMI UN ATLASES DOKUMENTI</w:t>
        </w:r>
        <w:r w:rsidR="004B228A">
          <w:rPr>
            <w:noProof/>
            <w:webHidden/>
          </w:rPr>
          <w:tab/>
        </w:r>
        <w:r w:rsidR="004B228A">
          <w:rPr>
            <w:noProof/>
            <w:webHidden/>
          </w:rPr>
          <w:fldChar w:fldCharType="begin"/>
        </w:r>
        <w:r w:rsidR="004B228A">
          <w:rPr>
            <w:noProof/>
            <w:webHidden/>
          </w:rPr>
          <w:instrText xml:space="preserve"> PAGEREF _Toc83216222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6E4DE039"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3" w:history="1">
        <w:r w:rsidR="004B228A" w:rsidRPr="00D77E08">
          <w:rPr>
            <w:rStyle w:val="Hyperlink"/>
            <w:noProof/>
          </w:rPr>
          <w:t>7.</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TEHNISKAIS PIEDĀVĀJUMS UN FINANŠU PIEDĀVĀJUMS</w:t>
        </w:r>
        <w:r w:rsidR="004B228A">
          <w:rPr>
            <w:noProof/>
            <w:webHidden/>
          </w:rPr>
          <w:tab/>
        </w:r>
        <w:r w:rsidR="004B228A">
          <w:rPr>
            <w:noProof/>
            <w:webHidden/>
          </w:rPr>
          <w:fldChar w:fldCharType="begin"/>
        </w:r>
        <w:r w:rsidR="004B228A">
          <w:rPr>
            <w:noProof/>
            <w:webHidden/>
          </w:rPr>
          <w:instrText xml:space="preserve"> PAGEREF _Toc83216223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3C9FEEE2"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4" w:history="1">
        <w:r w:rsidR="004B228A" w:rsidRPr="00D77E08">
          <w:rPr>
            <w:rStyle w:val="Hyperlink"/>
            <w:noProof/>
          </w:rPr>
          <w:t>8.</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SAGATAVOŠANA UN NOFORMĒŠANA</w:t>
        </w:r>
        <w:r w:rsidR="004B228A">
          <w:rPr>
            <w:noProof/>
            <w:webHidden/>
          </w:rPr>
          <w:tab/>
        </w:r>
        <w:r w:rsidR="004B228A">
          <w:rPr>
            <w:noProof/>
            <w:webHidden/>
          </w:rPr>
          <w:fldChar w:fldCharType="begin"/>
        </w:r>
        <w:r w:rsidR="004B228A">
          <w:rPr>
            <w:noProof/>
            <w:webHidden/>
          </w:rPr>
          <w:instrText xml:space="preserve"> PAGEREF _Toc83216224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5E9C1776"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5" w:history="1">
        <w:r w:rsidR="004B228A" w:rsidRPr="00D77E08">
          <w:rPr>
            <w:rStyle w:val="Hyperlink"/>
            <w:noProof/>
          </w:rPr>
          <w:t>9.</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IESNIEGŠANA UN ATVĒRŠANA</w:t>
        </w:r>
        <w:r w:rsidR="004B228A">
          <w:rPr>
            <w:noProof/>
            <w:webHidden/>
          </w:rPr>
          <w:tab/>
        </w:r>
        <w:r w:rsidR="004B228A">
          <w:rPr>
            <w:noProof/>
            <w:webHidden/>
          </w:rPr>
          <w:fldChar w:fldCharType="begin"/>
        </w:r>
        <w:r w:rsidR="004B228A">
          <w:rPr>
            <w:noProof/>
            <w:webHidden/>
          </w:rPr>
          <w:instrText xml:space="preserve"> PAGEREF _Toc83216225 \h </w:instrText>
        </w:r>
        <w:r w:rsidR="004B228A">
          <w:rPr>
            <w:noProof/>
            <w:webHidden/>
          </w:rPr>
        </w:r>
        <w:r w:rsidR="004B228A">
          <w:rPr>
            <w:noProof/>
            <w:webHidden/>
          </w:rPr>
          <w:fldChar w:fldCharType="separate"/>
        </w:r>
        <w:r w:rsidR="004B228A">
          <w:rPr>
            <w:noProof/>
            <w:webHidden/>
          </w:rPr>
          <w:t>9</w:t>
        </w:r>
        <w:r w:rsidR="004B228A">
          <w:rPr>
            <w:noProof/>
            <w:webHidden/>
          </w:rPr>
          <w:fldChar w:fldCharType="end"/>
        </w:r>
      </w:hyperlink>
    </w:p>
    <w:p w14:paraId="253CEF06"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6" w:history="1">
        <w:r w:rsidR="004B228A" w:rsidRPr="00D77E08">
          <w:rPr>
            <w:rStyle w:val="Hyperlink"/>
            <w:noProof/>
          </w:rPr>
          <w:t>10.</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CITI NOTEIKUMI</w:t>
        </w:r>
        <w:r w:rsidR="004B228A">
          <w:rPr>
            <w:noProof/>
            <w:webHidden/>
          </w:rPr>
          <w:tab/>
        </w:r>
        <w:r w:rsidR="004B228A">
          <w:rPr>
            <w:noProof/>
            <w:webHidden/>
          </w:rPr>
          <w:fldChar w:fldCharType="begin"/>
        </w:r>
        <w:r w:rsidR="004B228A">
          <w:rPr>
            <w:noProof/>
            <w:webHidden/>
          </w:rPr>
          <w:instrText xml:space="preserve"> PAGEREF _Toc83216226 \h </w:instrText>
        </w:r>
        <w:r w:rsidR="004B228A">
          <w:rPr>
            <w:noProof/>
            <w:webHidden/>
          </w:rPr>
        </w:r>
        <w:r w:rsidR="004B228A">
          <w:rPr>
            <w:noProof/>
            <w:webHidden/>
          </w:rPr>
          <w:fldChar w:fldCharType="separate"/>
        </w:r>
        <w:r w:rsidR="004B228A">
          <w:rPr>
            <w:noProof/>
            <w:webHidden/>
          </w:rPr>
          <w:t>10</w:t>
        </w:r>
        <w:r w:rsidR="004B228A">
          <w:rPr>
            <w:noProof/>
            <w:webHidden/>
          </w:rPr>
          <w:fldChar w:fldCharType="end"/>
        </w:r>
      </w:hyperlink>
    </w:p>
    <w:p w14:paraId="2DAA74E6" w14:textId="77777777" w:rsidR="004B228A" w:rsidRDefault="00381322">
      <w:pPr>
        <w:pStyle w:val="TOC1"/>
        <w:rPr>
          <w:rFonts w:asciiTheme="minorHAnsi" w:eastAsiaTheme="minorEastAsia" w:hAnsiTheme="minorHAnsi" w:cstheme="minorBidi"/>
          <w:noProof/>
          <w:sz w:val="22"/>
          <w:szCs w:val="22"/>
          <w:lang w:val="en-US" w:eastAsia="en-US"/>
        </w:rPr>
      </w:pPr>
      <w:hyperlink w:anchor="_Toc83216227" w:history="1">
        <w:r w:rsidR="004B228A" w:rsidRPr="00D77E08">
          <w:rPr>
            <w:rStyle w:val="Hyperlink"/>
            <w:noProof/>
          </w:rPr>
          <w:t>11.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LĪGUMA SLĒGŠANA</w:t>
        </w:r>
        <w:r w:rsidR="004B228A">
          <w:rPr>
            <w:noProof/>
            <w:webHidden/>
          </w:rPr>
          <w:tab/>
        </w:r>
        <w:r w:rsidR="004B228A">
          <w:rPr>
            <w:noProof/>
            <w:webHidden/>
          </w:rPr>
          <w:fldChar w:fldCharType="begin"/>
        </w:r>
        <w:r w:rsidR="004B228A">
          <w:rPr>
            <w:noProof/>
            <w:webHidden/>
          </w:rPr>
          <w:instrText xml:space="preserve"> PAGEREF _Toc83216227 \h </w:instrText>
        </w:r>
        <w:r w:rsidR="004B228A">
          <w:rPr>
            <w:noProof/>
            <w:webHidden/>
          </w:rPr>
        </w:r>
        <w:r w:rsidR="004B228A">
          <w:rPr>
            <w:noProof/>
            <w:webHidden/>
          </w:rPr>
          <w:fldChar w:fldCharType="separate"/>
        </w:r>
        <w:r w:rsidR="004B228A">
          <w:rPr>
            <w:noProof/>
            <w:webHidden/>
          </w:rPr>
          <w:t>12</w:t>
        </w:r>
        <w:r w:rsidR="004B228A">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83216217"/>
      <w:r w:rsidRPr="00953A15">
        <w:t>VISPĀRĪGA INFORMĀCIJA</w:t>
      </w:r>
      <w:bookmarkEnd w:id="0"/>
    </w:p>
    <w:p w14:paraId="6A90D6E4" w14:textId="3CD43BE3" w:rsidR="00E75D9B" w:rsidRPr="004B228A" w:rsidRDefault="00E75D9B" w:rsidP="00D63446">
      <w:pPr>
        <w:pStyle w:val="ListParagraph"/>
        <w:numPr>
          <w:ilvl w:val="1"/>
          <w:numId w:val="1"/>
        </w:numPr>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2021/</w:t>
      </w:r>
      <w:r w:rsidR="0059516B" w:rsidRPr="004B228A">
        <w:rPr>
          <w:rFonts w:ascii="Times New Roman" w:hAnsi="Times New Roman" w:cs="Times New Roman"/>
        </w:rPr>
        <w:t>95</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381322"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2653ACE5"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26044500,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un Agris Sokolovskis, tālr. 28623718, e-pasta adrese: </w:t>
            </w:r>
            <w:hyperlink r:id="rId10" w:history="1">
              <w:r w:rsidRPr="004B228A">
                <w:rPr>
                  <w:rStyle w:val="Hyperlink"/>
                  <w:rFonts w:ascii="Times New Roman" w:hAnsi="Times New Roman" w:cs="Times New Roman"/>
                  <w:bCs/>
                </w:rPr>
                <w:t>agris.sokolovskis@vbp.lv</w:t>
              </w:r>
            </w:hyperlink>
            <w:r w:rsidR="00A55394">
              <w:rPr>
                <w:rFonts w:ascii="Times New Roman" w:hAnsi="Times New Roman" w:cs="Times New Roman"/>
                <w:bCs/>
              </w:rPr>
              <w:t xml:space="preserve"> vai </w:t>
            </w:r>
            <w:hyperlink r:id="rId11"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w:t>
            </w:r>
            <w:proofErr w:type="spellStart"/>
            <w:r w:rsidRPr="004B228A">
              <w:rPr>
                <w:rFonts w:ascii="Times New Roman" w:hAnsi="Times New Roman" w:cs="Times New Roman"/>
              </w:rPr>
              <w:t>Luminor</w:t>
            </w:r>
            <w:proofErr w:type="spellEnd"/>
            <w:r w:rsidRPr="004B228A">
              <w:rPr>
                <w:rFonts w:ascii="Times New Roman" w:hAnsi="Times New Roman" w:cs="Times New Roman"/>
              </w:rPr>
              <w:t xml:space="preserve"> </w:t>
            </w:r>
            <w:proofErr w:type="spellStart"/>
            <w:r w:rsidRPr="004B228A">
              <w:rPr>
                <w:rFonts w:ascii="Times New Roman" w:hAnsi="Times New Roman" w:cs="Times New Roman"/>
              </w:rPr>
              <w:t>Bank</w:t>
            </w:r>
            <w:proofErr w:type="spellEnd"/>
            <w:r w:rsidRPr="004B228A">
              <w:rPr>
                <w:rFonts w:ascii="Times New Roman" w:hAnsi="Times New Roman" w:cs="Times New Roman"/>
              </w:rPr>
              <w:t>”,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83216218"/>
      <w:r w:rsidRPr="00953A15">
        <w:t>INFORMĀCIJA PAR IEPIRKUMA PRIEKŠMETU</w:t>
      </w:r>
      <w:bookmarkEnd w:id="1"/>
    </w:p>
    <w:p w14:paraId="4B7B0822" w14:textId="4088F70A" w:rsidR="004B228A" w:rsidRPr="004B228A" w:rsidRDefault="00E75D9B"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sistēmas </w:t>
      </w:r>
      <w:r w:rsidR="002A62A0">
        <w:rPr>
          <w:rFonts w:ascii="Times New Roman" w:eastAsia="Calibri" w:hAnsi="Times New Roman" w:cs="Times New Roman"/>
        </w:rPr>
        <w:t>komponenšu iegāde</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57630A07" w:rsidR="00E75D9B" w:rsidRPr="004B228A" w:rsidRDefault="00720664"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priekšmets ietver</w:t>
      </w:r>
      <w:r w:rsidR="00BC5481" w:rsidRPr="004B228A">
        <w:rPr>
          <w:rFonts w:ascii="Times New Roman" w:hAnsi="Times New Roman" w:cs="Times New Roman"/>
        </w:rPr>
        <w:t xml:space="preserve"> </w:t>
      </w:r>
      <w:r w:rsidR="004B228A">
        <w:rPr>
          <w:rFonts w:ascii="Times New Roman" w:hAnsi="Times New Roman" w:cs="Times New Roman"/>
        </w:rPr>
        <w:t xml:space="preserve">sekojošo </w:t>
      </w:r>
      <w:r w:rsidR="004B228A" w:rsidRPr="004B228A">
        <w:rPr>
          <w:rFonts w:ascii="Times New Roman" w:hAnsi="Times New Roman" w:cs="Times New Roman"/>
        </w:rPr>
        <w:t>videonovērošanas sistēm</w:t>
      </w:r>
      <w:r w:rsidR="009451C0">
        <w:rPr>
          <w:rFonts w:ascii="Times New Roman" w:hAnsi="Times New Roman" w:cs="Times New Roman"/>
        </w:rPr>
        <w:t>as</w:t>
      </w:r>
      <w:r w:rsidR="004B228A" w:rsidRPr="004B228A">
        <w:rPr>
          <w:rFonts w:ascii="Times New Roman" w:hAnsi="Times New Roman" w:cs="Times New Roman"/>
        </w:rPr>
        <w:t xml:space="preserve"> komponenšu (turpmāk – Preces)</w:t>
      </w:r>
      <w:r w:rsidR="00BC5481" w:rsidRPr="004B228A">
        <w:rPr>
          <w:rFonts w:ascii="Times New Roman" w:hAnsi="Times New Roman" w:cs="Times New Roman"/>
        </w:rPr>
        <w:t xml:space="preserve"> piegādi</w:t>
      </w:r>
      <w:r w:rsidRPr="004B228A">
        <w:rPr>
          <w:rFonts w:ascii="Times New Roman" w:hAnsi="Times New Roman" w:cs="Times New Roman"/>
        </w:rPr>
        <w:t>:</w:t>
      </w:r>
    </w:p>
    <w:tbl>
      <w:tblPr>
        <w:tblW w:w="829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39"/>
        <w:gridCol w:w="1215"/>
        <w:gridCol w:w="5245"/>
      </w:tblGrid>
      <w:tr w:rsidR="00FF0070" w:rsidRPr="004B228A" w14:paraId="5362CC42" w14:textId="77777777" w:rsidTr="00840F19">
        <w:trPr>
          <w:tblHeader/>
        </w:trPr>
        <w:tc>
          <w:tcPr>
            <w:tcW w:w="1839" w:type="dxa"/>
            <w:shd w:val="clear" w:color="auto" w:fill="F2F2F2" w:themeFill="background1" w:themeFillShade="F2"/>
            <w:vAlign w:val="center"/>
          </w:tcPr>
          <w:p w14:paraId="723A6594" w14:textId="2D1DF3A2" w:rsidR="00FF0070" w:rsidRPr="00A67C4D" w:rsidRDefault="00FF0070" w:rsidP="00FF0070">
            <w:pPr>
              <w:ind w:left="87"/>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Nosaukums</w:t>
            </w:r>
          </w:p>
        </w:tc>
        <w:tc>
          <w:tcPr>
            <w:tcW w:w="1215" w:type="dxa"/>
            <w:shd w:val="clear" w:color="auto" w:fill="F2F2F2" w:themeFill="background1" w:themeFillShade="F2"/>
          </w:tcPr>
          <w:p w14:paraId="5DC22313" w14:textId="2D229731" w:rsidR="00FF0070" w:rsidRPr="00A67C4D" w:rsidRDefault="00FF0070" w:rsidP="00FF0070">
            <w:pPr>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Skaits (</w:t>
            </w:r>
            <w:proofErr w:type="spellStart"/>
            <w:r w:rsidRPr="00A67C4D">
              <w:rPr>
                <w:rFonts w:ascii="Times New Roman" w:eastAsia="Times New Roman" w:hAnsi="Times New Roman" w:cs="Times New Roman"/>
                <w:b/>
                <w:color w:val="000000"/>
              </w:rPr>
              <w:t>gb</w:t>
            </w:r>
            <w:proofErr w:type="spellEnd"/>
            <w:r w:rsidRPr="00A67C4D">
              <w:rPr>
                <w:rFonts w:ascii="Times New Roman" w:eastAsia="Times New Roman" w:hAnsi="Times New Roman" w:cs="Times New Roman"/>
                <w:b/>
                <w:color w:val="000000"/>
              </w:rPr>
              <w:t>.)</w:t>
            </w:r>
          </w:p>
        </w:tc>
        <w:tc>
          <w:tcPr>
            <w:tcW w:w="5245" w:type="dxa"/>
            <w:shd w:val="clear" w:color="auto" w:fill="F2F2F2" w:themeFill="background1" w:themeFillShade="F2"/>
            <w:vAlign w:val="center"/>
          </w:tcPr>
          <w:p w14:paraId="4557C664" w14:textId="6F990E2F" w:rsidR="00FF0070" w:rsidRPr="00A67C4D" w:rsidRDefault="00FF0070" w:rsidP="00FF0070">
            <w:pPr>
              <w:jc w:val="center"/>
              <w:rPr>
                <w:rFonts w:ascii="Times New Roman" w:eastAsia="Times New Roman" w:hAnsi="Times New Roman" w:cs="Times New Roman"/>
                <w:b/>
                <w:color w:val="000000"/>
              </w:rPr>
            </w:pPr>
            <w:r w:rsidRPr="00A67C4D">
              <w:rPr>
                <w:rFonts w:ascii="Times New Roman" w:eastAsia="Times New Roman" w:hAnsi="Times New Roman" w:cs="Times New Roman"/>
                <w:b/>
                <w:color w:val="000000"/>
              </w:rPr>
              <w:t>Prasību apraksts</w:t>
            </w:r>
          </w:p>
        </w:tc>
      </w:tr>
      <w:tr w:rsidR="00FF0070" w:rsidRPr="004B228A" w14:paraId="37FF7E57" w14:textId="77777777" w:rsidTr="00840F19">
        <w:tc>
          <w:tcPr>
            <w:tcW w:w="1839" w:type="dxa"/>
            <w:shd w:val="clear" w:color="auto" w:fill="auto"/>
            <w:vAlign w:val="center"/>
          </w:tcPr>
          <w:p w14:paraId="1042E954" w14:textId="703890A6" w:rsidR="00FF0070" w:rsidRPr="00A67C4D" w:rsidRDefault="00C25E3E" w:rsidP="00C25E3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Tīkla</w:t>
            </w:r>
            <w:r w:rsidR="00840F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disku masīvs </w:t>
            </w:r>
            <w:r w:rsidR="00840F19">
              <w:rPr>
                <w:rFonts w:ascii="Times New Roman" w:eastAsia="Times New Roman" w:hAnsi="Times New Roman" w:cs="Times New Roman"/>
                <w:color w:val="000000"/>
              </w:rPr>
              <w:t>(</w:t>
            </w:r>
            <w:r w:rsidR="00FF0070" w:rsidRPr="00A67C4D">
              <w:rPr>
                <w:rFonts w:ascii="Times New Roman" w:eastAsia="Times New Roman" w:hAnsi="Times New Roman" w:cs="Times New Roman"/>
                <w:color w:val="000000"/>
              </w:rPr>
              <w:t>NAS</w:t>
            </w:r>
            <w:r w:rsidR="00840F19">
              <w:rPr>
                <w:rFonts w:ascii="Times New Roman" w:eastAsia="Times New Roman" w:hAnsi="Times New Roman" w:cs="Times New Roman"/>
                <w:color w:val="000000"/>
              </w:rPr>
              <w:t>)</w:t>
            </w:r>
          </w:p>
        </w:tc>
        <w:tc>
          <w:tcPr>
            <w:tcW w:w="1215" w:type="dxa"/>
          </w:tcPr>
          <w:p w14:paraId="5367E5DE" w14:textId="57194DDC" w:rsidR="00FF0070" w:rsidRPr="00A67C4D" w:rsidRDefault="00FF0070" w:rsidP="00FF0070">
            <w:pPr>
              <w:jc w:val="center"/>
              <w:rPr>
                <w:rFonts w:ascii="Times New Roman" w:hAnsi="Times New Roman" w:cs="Times New Roman"/>
                <w:color w:val="000000"/>
              </w:rPr>
            </w:pPr>
            <w:r w:rsidRPr="00A67C4D">
              <w:rPr>
                <w:rFonts w:ascii="Times New Roman" w:hAnsi="Times New Roman" w:cs="Times New Roman"/>
                <w:color w:val="000000"/>
              </w:rPr>
              <w:t>1</w:t>
            </w:r>
          </w:p>
        </w:tc>
        <w:tc>
          <w:tcPr>
            <w:tcW w:w="5245" w:type="dxa"/>
            <w:shd w:val="clear" w:color="auto" w:fill="auto"/>
            <w:vAlign w:val="center"/>
          </w:tcPr>
          <w:p w14:paraId="71FDFDD3" w14:textId="7BC86F6F" w:rsidR="00FF0070" w:rsidRPr="00A67C4D" w:rsidRDefault="00FF0070" w:rsidP="00293316">
            <w:pPr>
              <w:jc w:val="center"/>
              <w:rPr>
                <w:rFonts w:ascii="Times New Roman" w:eastAsia="Times New Roman" w:hAnsi="Times New Roman" w:cs="Times New Roman"/>
                <w:color w:val="000000"/>
              </w:rPr>
            </w:pPr>
            <w:r w:rsidRPr="00A67C4D">
              <w:rPr>
                <w:rFonts w:ascii="Times New Roman" w:hAnsi="Times New Roman" w:cs="Times New Roman"/>
                <w:color w:val="000000"/>
              </w:rPr>
              <w:t>Modelis QNAP TVS-872XT-i5-16G vai līdzvērtīgs</w:t>
            </w:r>
          </w:p>
        </w:tc>
      </w:tr>
      <w:tr w:rsidR="00FF0070" w:rsidRPr="004B228A" w14:paraId="2AF33121" w14:textId="77777777" w:rsidTr="00840F19">
        <w:tc>
          <w:tcPr>
            <w:tcW w:w="1839" w:type="dxa"/>
            <w:shd w:val="clear" w:color="auto" w:fill="auto"/>
            <w:vAlign w:val="center"/>
          </w:tcPr>
          <w:p w14:paraId="5F9E9EA7" w14:textId="48793882" w:rsidR="00FF0070" w:rsidRPr="00A67C4D" w:rsidRDefault="00FF0070" w:rsidP="00FF0070">
            <w:pPr>
              <w:jc w:val="center"/>
              <w:rPr>
                <w:rFonts w:ascii="Times New Roman" w:eastAsia="Times New Roman" w:hAnsi="Times New Roman" w:cs="Times New Roman"/>
                <w:color w:val="000000"/>
              </w:rPr>
            </w:pPr>
            <w:r w:rsidRPr="00A67C4D">
              <w:rPr>
                <w:rFonts w:ascii="Times New Roman" w:eastAsia="Times New Roman" w:hAnsi="Times New Roman" w:cs="Times New Roman"/>
                <w:color w:val="000000"/>
              </w:rPr>
              <w:lastRenderedPageBreak/>
              <w:t>Diski</w:t>
            </w:r>
          </w:p>
        </w:tc>
        <w:tc>
          <w:tcPr>
            <w:tcW w:w="1215" w:type="dxa"/>
          </w:tcPr>
          <w:p w14:paraId="5DFB4B76" w14:textId="00CCD46F" w:rsidR="00FF0070" w:rsidRPr="00A67C4D" w:rsidRDefault="00FF0070" w:rsidP="00FF0070">
            <w:pPr>
              <w:jc w:val="center"/>
              <w:rPr>
                <w:rFonts w:ascii="Times New Roman" w:eastAsia="Times New Roman" w:hAnsi="Times New Roman" w:cs="Times New Roman"/>
              </w:rPr>
            </w:pPr>
            <w:r w:rsidRPr="00A67C4D">
              <w:rPr>
                <w:rFonts w:ascii="Times New Roman" w:eastAsia="Times New Roman" w:hAnsi="Times New Roman" w:cs="Times New Roman"/>
              </w:rPr>
              <w:t>5</w:t>
            </w:r>
          </w:p>
        </w:tc>
        <w:tc>
          <w:tcPr>
            <w:tcW w:w="5245" w:type="dxa"/>
            <w:shd w:val="clear" w:color="auto" w:fill="auto"/>
            <w:vAlign w:val="center"/>
          </w:tcPr>
          <w:p w14:paraId="63395EB5" w14:textId="59049622" w:rsidR="00FF0070" w:rsidRPr="00A67C4D" w:rsidRDefault="00FF0070" w:rsidP="00293316">
            <w:pPr>
              <w:jc w:val="center"/>
              <w:rPr>
                <w:rFonts w:ascii="Times New Roman" w:eastAsia="Times New Roman" w:hAnsi="Times New Roman" w:cs="Times New Roman"/>
                <w:color w:val="000000"/>
              </w:rPr>
            </w:pPr>
            <w:r w:rsidRPr="00A67C4D">
              <w:rPr>
                <w:rFonts w:ascii="Times New Roman" w:eastAsia="Times New Roman" w:hAnsi="Times New Roman" w:cs="Times New Roman"/>
              </w:rPr>
              <w:t xml:space="preserve">10TB , jābūt iekļautiem </w:t>
            </w:r>
            <w:hyperlink r:id="rId12" w:history="1">
              <w:r w:rsidRPr="00A67C4D">
                <w:rPr>
                  <w:rStyle w:val="Hyperlink"/>
                  <w:rFonts w:ascii="Times New Roman" w:eastAsia="Times New Roman" w:hAnsi="Times New Roman" w:cs="Times New Roman"/>
                </w:rPr>
                <w:t>https://www.qnap.com/en-us/compatibility</w:t>
              </w:r>
            </w:hyperlink>
            <w:r w:rsidRPr="00A67C4D">
              <w:rPr>
                <w:rFonts w:ascii="Times New Roman" w:eastAsia="Times New Roman" w:hAnsi="Times New Roman" w:cs="Times New Roman"/>
              </w:rPr>
              <w:t xml:space="preserve">  sarakstā</w:t>
            </w:r>
          </w:p>
        </w:tc>
      </w:tr>
      <w:tr w:rsidR="00FF0070" w:rsidRPr="004B228A" w14:paraId="4BA4E904" w14:textId="77777777" w:rsidTr="00840F19">
        <w:tc>
          <w:tcPr>
            <w:tcW w:w="1839" w:type="dxa"/>
            <w:shd w:val="clear" w:color="auto" w:fill="auto"/>
            <w:vAlign w:val="center"/>
          </w:tcPr>
          <w:p w14:paraId="4EB07DA1" w14:textId="70EE2B77" w:rsidR="00FF0070" w:rsidRPr="00A67C4D" w:rsidRDefault="00FF0070" w:rsidP="00FF0070">
            <w:pPr>
              <w:jc w:val="center"/>
              <w:rPr>
                <w:rFonts w:ascii="Times New Roman" w:eastAsia="Times New Roman" w:hAnsi="Times New Roman" w:cs="Times New Roman"/>
                <w:color w:val="000000"/>
              </w:rPr>
            </w:pPr>
            <w:r w:rsidRPr="00A67C4D">
              <w:rPr>
                <w:rFonts w:ascii="Times New Roman" w:eastAsia="Times New Roman" w:hAnsi="Times New Roman" w:cs="Times New Roman"/>
                <w:color w:val="000000"/>
              </w:rPr>
              <w:t>Licences</w:t>
            </w:r>
          </w:p>
        </w:tc>
        <w:tc>
          <w:tcPr>
            <w:tcW w:w="1215" w:type="dxa"/>
          </w:tcPr>
          <w:p w14:paraId="45A5DF33" w14:textId="4CFE474B" w:rsidR="00FF0070" w:rsidRPr="00A67C4D" w:rsidRDefault="00FF0070" w:rsidP="00FF0070">
            <w:pPr>
              <w:jc w:val="center"/>
              <w:rPr>
                <w:rFonts w:ascii="Times New Roman" w:eastAsia="Times New Roman" w:hAnsi="Times New Roman" w:cs="Times New Roman"/>
              </w:rPr>
            </w:pPr>
            <w:r w:rsidRPr="00A67C4D">
              <w:rPr>
                <w:rFonts w:ascii="Times New Roman" w:eastAsia="Times New Roman" w:hAnsi="Times New Roman" w:cs="Times New Roman"/>
              </w:rPr>
              <w:t>2</w:t>
            </w:r>
          </w:p>
        </w:tc>
        <w:tc>
          <w:tcPr>
            <w:tcW w:w="5245" w:type="dxa"/>
            <w:shd w:val="clear" w:color="auto" w:fill="auto"/>
            <w:vAlign w:val="center"/>
          </w:tcPr>
          <w:p w14:paraId="63D05DA2" w14:textId="6B5F8DC2" w:rsidR="00FF0070" w:rsidRPr="00A67C4D" w:rsidRDefault="00FF0070" w:rsidP="00293316">
            <w:pPr>
              <w:jc w:val="center"/>
              <w:rPr>
                <w:rFonts w:ascii="Times New Roman" w:hAnsi="Times New Roman" w:cs="Times New Roman"/>
              </w:rPr>
            </w:pPr>
            <w:r w:rsidRPr="00A67C4D">
              <w:rPr>
                <w:rFonts w:ascii="Times New Roman" w:hAnsi="Times New Roman" w:cs="Times New Roman"/>
                <w:color w:val="000000"/>
              </w:rPr>
              <w:t>LIC-SW-QVRPRO-8CH-EI</w:t>
            </w:r>
          </w:p>
        </w:tc>
      </w:tr>
    </w:tbl>
    <w:p w14:paraId="2B1EA906" w14:textId="77777777" w:rsidR="00FF0070" w:rsidRPr="004B228A" w:rsidRDefault="00FF0070" w:rsidP="00FF0070">
      <w:pPr>
        <w:pStyle w:val="ListParagraph"/>
        <w:spacing w:after="0"/>
        <w:ind w:left="993"/>
        <w:jc w:val="both"/>
        <w:rPr>
          <w:rFonts w:ascii="Times New Roman" w:eastAsia="Calibri" w:hAnsi="Times New Roman" w:cs="Times New Roman"/>
          <w:u w:val="single"/>
        </w:rPr>
      </w:pPr>
    </w:p>
    <w:p w14:paraId="6F1E8248" w14:textId="52EF35CC" w:rsidR="0086033A" w:rsidRPr="004B228A" w:rsidRDefault="00E75D9B" w:rsidP="007F5067">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bookmarkStart w:id="2" w:name="_GoBack"/>
      <w:bookmarkEnd w:id="2"/>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Calibri" w:hAnsi="Times New Roman" w:cs="Times New Roman"/>
        </w:rPr>
        <w:t>Iepirkuma priekšmets nav sadalīts daļās. Pretendentam piedāvājums jāsagatavo par visu iepirkuma priekšmetu kopumu vienā variantā.</w:t>
      </w:r>
    </w:p>
    <w:p w14:paraId="477C0FFA" w14:textId="28C23E68" w:rsidR="000F478E" w:rsidRPr="000F478E" w:rsidRDefault="000F478E" w:rsidP="00D63446">
      <w:pPr>
        <w:pStyle w:val="ListParagraph"/>
        <w:numPr>
          <w:ilvl w:val="1"/>
          <w:numId w:val="2"/>
        </w:numPr>
        <w:spacing w:after="0"/>
        <w:ind w:left="993" w:hanging="633"/>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D63446">
      <w:pPr>
        <w:pStyle w:val="Heading1"/>
        <w:numPr>
          <w:ilvl w:val="0"/>
          <w:numId w:val="4"/>
        </w:numPr>
      </w:pPr>
      <w:bookmarkStart w:id="3" w:name="_Toc83216219"/>
      <w:r w:rsidRPr="00953A15">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3"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326FFE67" w14:textId="415E40DE" w:rsidR="00E75D9B"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4A2AB3" w:rsidRPr="004B228A">
        <w:rPr>
          <w:rFonts w:ascii="Times New Roman" w:eastAsia="Times New Roman" w:hAnsi="Times New Roman" w:cs="Times New Roman"/>
        </w:rPr>
        <w:t>1</w:t>
      </w:r>
      <w:r w:rsidRPr="004B228A">
        <w:rPr>
          <w:rFonts w:ascii="Times New Roman" w:eastAsia="Times New Roman" w:hAnsi="Times New Roman" w:cs="Times New Roman"/>
        </w:rPr>
        <w:t>.pielikums);</w:t>
      </w:r>
    </w:p>
    <w:p w14:paraId="66E1C536" w14:textId="7A27A381" w:rsidR="00091F76"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4A2AB3" w:rsidRPr="004B228A">
        <w:rPr>
          <w:rFonts w:ascii="Times New Roman" w:eastAsia="Times New Roman" w:hAnsi="Times New Roman" w:cs="Times New Roman"/>
        </w:rPr>
        <w:t>2</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746D23ED"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4"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5"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 xml:space="preserve">2021.gada </w:t>
      </w:r>
      <w:r w:rsidR="002A260D">
        <w:rPr>
          <w:rFonts w:ascii="Times New Roman" w:eastAsia="Times New Roman" w:hAnsi="Times New Roman" w:cs="Times New Roman"/>
          <w:b/>
          <w:bCs/>
          <w:color w:val="000000"/>
        </w:rPr>
        <w:t>5</w:t>
      </w:r>
      <w:r w:rsidR="00837275">
        <w:rPr>
          <w:rFonts w:ascii="Times New Roman" w:eastAsia="Times New Roman" w:hAnsi="Times New Roman" w:cs="Times New Roman"/>
          <w:b/>
          <w:bCs/>
          <w:color w:val="000000"/>
        </w:rPr>
        <w:t>.oktobrim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539FE" w:rsidRPr="004B228A">
        <w:rPr>
          <w:rFonts w:ascii="Times New Roman" w:eastAsia="Times New Roman" w:hAnsi="Times New Roman" w:cs="Times New Roman"/>
          <w:b/>
          <w:color w:val="000000"/>
        </w:rPr>
        <w:t>0</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Ieinteresētajam piegādātājam ir pienākums sekot līdzi publicētajai informācijai un ievērtēt to savā piedāvājumā. Pasūtītājs nav atbildīgs par to, ja kāds Ieinteresētais </w:t>
      </w:r>
      <w:r w:rsidRPr="004B228A">
        <w:rPr>
          <w:rFonts w:ascii="Times New Roman" w:eastAsia="Times New Roman" w:hAnsi="Times New Roman" w:cs="Times New Roman"/>
        </w:rPr>
        <w:lastRenderedPageBreak/>
        <w:t>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4" w:name="_Toc83216220"/>
      <w:bookmarkStart w:id="5" w:name="_Toc380415501"/>
      <w:r w:rsidRPr="00953A15">
        <w:t>DALĪBAS NOSACĪJUMI IEPIRKUMA PROCEDŪRĀ</w:t>
      </w:r>
      <w:bookmarkEnd w:id="4"/>
    </w:p>
    <w:p w14:paraId="1BBB58AE" w14:textId="77777777" w:rsidR="00E75D9B" w:rsidRPr="004B228A" w:rsidRDefault="00E75D9B" w:rsidP="00D63446">
      <w:pPr>
        <w:pStyle w:val="ListParagraph"/>
        <w:numPr>
          <w:ilvl w:val="1"/>
          <w:numId w:val="5"/>
        </w:numPr>
        <w:spacing w:after="0" w:line="240" w:lineRule="auto"/>
        <w:ind w:left="851" w:hanging="500"/>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proofErr w:type="spellStart"/>
      <w:r w:rsidRPr="004B228A">
        <w:rPr>
          <w:i/>
          <w:iCs/>
          <w:sz w:val="22"/>
          <w:szCs w:val="22"/>
        </w:rPr>
        <w:t>euro</w:t>
      </w:r>
      <w:proofErr w:type="spellEnd"/>
      <w:r w:rsidRPr="004B228A">
        <w:rPr>
          <w:sz w:val="22"/>
          <w:szCs w:val="22"/>
        </w:rPr>
        <w:t>;</w:t>
      </w:r>
    </w:p>
    <w:p w14:paraId="784F507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Pretendents iesniedzis visu pieprasīto informāciju un iesniegtā informācija, lai apliecinātu Pretendenta atbilstību kvalifikācijas prasībām, ir patiesa.</w:t>
      </w:r>
    </w:p>
    <w:p w14:paraId="65FB9022"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6" w:name="_Toc83216221"/>
      <w:r w:rsidRPr="00953A15">
        <w:t>IESNIEDZAMIE DOKUMENTI:</w:t>
      </w:r>
      <w:bookmarkEnd w:id="6"/>
    </w:p>
    <w:p w14:paraId="5F641793" w14:textId="77777777" w:rsidR="00E75D9B" w:rsidRPr="004B228A"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Heading1"/>
        <w:numPr>
          <w:ilvl w:val="0"/>
          <w:numId w:val="7"/>
        </w:numPr>
      </w:pPr>
      <w:bookmarkStart w:id="7" w:name="_Toc83216222"/>
      <w:r w:rsidRPr="00953A15">
        <w:t>PRETENDENTU KVALIFIKĀCIJAS PRASĪBAS</w:t>
      </w:r>
      <w:r w:rsidR="00C17468">
        <w:t xml:space="preserve"> / DALĪBAS NOSACĪJUMI</w:t>
      </w:r>
      <w:r w:rsidRPr="00953A15">
        <w:t xml:space="preserve"> UN ATLASES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w:t>
            </w:r>
            <w:r w:rsidRPr="004B228A">
              <w:rPr>
                <w:rFonts w:ascii="Times New Roman" w:hAnsi="Times New Roman" w:cs="Times New Roman"/>
                <w:lang w:eastAsia="lv-LV"/>
              </w:rPr>
              <w:lastRenderedPageBreak/>
              <w:t>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4B228A">
              <w:rPr>
                <w:rFonts w:ascii="Times New Roman" w:hAnsi="Times New Roman" w:cs="Times New Roman"/>
                <w:lang w:eastAsia="lv-LV"/>
              </w:rPr>
              <w:t>euro</w:t>
            </w:r>
            <w:proofErr w:type="spellEnd"/>
            <w:r w:rsidRPr="004B228A">
              <w:rPr>
                <w:rFonts w:ascii="Times New Roman" w:hAnsi="Times New Roman" w:cs="Times New Roman"/>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381322"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381322"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3984F0D2" w14:textId="77777777" w:rsidR="008B3EC1" w:rsidRPr="004B228A"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726D03">
        <w:trPr>
          <w:trHeight w:val="5172"/>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3D882004" w14:textId="7777777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1B0A12E4" w14:textId="77777777" w:rsidR="008B3EC1" w:rsidRPr="004B228A" w:rsidRDefault="008B3EC1" w:rsidP="00726D03">
            <w:pPr>
              <w:jc w:val="both"/>
              <w:rPr>
                <w:rFonts w:ascii="Times New Roman" w:eastAsia="Calibri" w:hAnsi="Times New Roman" w:cs="Times New Roman"/>
                <w:b/>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p w14:paraId="6C836A40" w14:textId="77777777" w:rsidR="008B3EC1" w:rsidRPr="004B228A" w:rsidRDefault="008B3EC1" w:rsidP="00726D03">
            <w:pPr>
              <w:jc w:val="both"/>
              <w:rPr>
                <w:rFonts w:ascii="Times New Roman" w:hAnsi="Times New Roman" w:cs="Times New Roman"/>
              </w:rPr>
            </w:pPr>
          </w:p>
        </w:tc>
      </w:tr>
      <w:tr w:rsidR="008B3EC1" w:rsidRPr="00F67A4E" w14:paraId="461226FD" w14:textId="77777777" w:rsidTr="00726D03">
        <w:trPr>
          <w:trHeight w:val="12203"/>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09C2F272"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4A2AB3" w:rsidRPr="004B228A">
              <w:rPr>
                <w:rFonts w:ascii="Times New Roman" w:eastAsia="Calibri" w:hAnsi="Times New Roman" w:cs="Times New Roman"/>
                <w:b/>
                <w:bCs/>
              </w:rPr>
              <w:t>2</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w:t>
            </w:r>
            <w:r w:rsidRPr="004B228A">
              <w:rPr>
                <w:rFonts w:ascii="Times New Roman" w:eastAsia="Calibri" w:hAnsi="Times New Roman" w:cs="Times New Roman"/>
                <w:bCs/>
              </w:rPr>
              <w:lastRenderedPageBreak/>
              <w:t xml:space="preserve">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8" w:name="_Toc83216223"/>
      <w:r w:rsidRPr="00953A15">
        <w:t xml:space="preserve">TEHNISKAIS </w:t>
      </w:r>
      <w:r>
        <w:t>PIEDĀVĀJUMS</w:t>
      </w:r>
      <w:r w:rsidRPr="00953A15">
        <w:t xml:space="preserve"> </w:t>
      </w:r>
      <w:r>
        <w:t xml:space="preserve">UN </w:t>
      </w:r>
      <w:r w:rsidRPr="00953A15">
        <w:t>FINANŠU PIEDĀVĀJUMS</w:t>
      </w:r>
      <w:bookmarkEnd w:id="8"/>
    </w:p>
    <w:p w14:paraId="0CCB7727" w14:textId="036DDD65" w:rsidR="00E75D9B" w:rsidRPr="004B228A" w:rsidRDefault="00E75D9B" w:rsidP="00D63446">
      <w:pPr>
        <w:numPr>
          <w:ilvl w:val="1"/>
          <w:numId w:val="7"/>
        </w:numPr>
        <w:spacing w:after="0" w:line="240" w:lineRule="auto"/>
        <w:ind w:left="993" w:hanging="567"/>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4A2AB3" w:rsidRPr="004B228A">
        <w:rPr>
          <w:rFonts w:ascii="Times New Roman" w:hAnsi="Times New Roman" w:cs="Times New Roman"/>
          <w:b/>
          <w:bCs/>
        </w:rPr>
        <w:t>1</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9" w:name="_Toc83216224"/>
      <w:r w:rsidRPr="00953A15">
        <w:t>PIEDĀVĀJUMA SAGATAVOŠANA UN NOFORMĒŠANA</w:t>
      </w:r>
      <w:bookmarkEnd w:id="9"/>
    </w:p>
    <w:p w14:paraId="09AD2FFF" w14:textId="77777777" w:rsidR="00E75D9B" w:rsidRPr="004B228A" w:rsidRDefault="00E75D9B" w:rsidP="00D63446">
      <w:pPr>
        <w:pStyle w:val="ListParagraph"/>
        <w:numPr>
          <w:ilvl w:val="1"/>
          <w:numId w:val="7"/>
        </w:numPr>
        <w:ind w:left="851" w:hanging="425"/>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E75D9B">
      <w:pPr>
        <w:tabs>
          <w:tab w:val="left" w:pos="1004"/>
          <w:tab w:val="left" w:pos="1134"/>
        </w:tabs>
        <w:spacing w:after="0"/>
        <w:ind w:left="851"/>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10" w:name="_Toc83216225"/>
      <w:r w:rsidRPr="00953A15">
        <w:t>PIEDĀVĀJUMA IESNIEGŠANA UN ATVĒRŠANA</w:t>
      </w:r>
      <w:bookmarkEnd w:id="10"/>
    </w:p>
    <w:p w14:paraId="21AC08EB" w14:textId="45E98C8C" w:rsidR="00E75D9B" w:rsidRPr="004B228A" w:rsidRDefault="00E75D9B" w:rsidP="00D63446">
      <w:pPr>
        <w:numPr>
          <w:ilvl w:val="1"/>
          <w:numId w:val="7"/>
        </w:numPr>
        <w:spacing w:after="0" w:line="240" w:lineRule="auto"/>
        <w:ind w:left="993" w:hanging="568"/>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 xml:space="preserve">līdz 2021.gada </w:t>
      </w:r>
      <w:r w:rsidR="002A260D">
        <w:rPr>
          <w:rFonts w:ascii="Times New Roman" w:hAnsi="Times New Roman" w:cs="Times New Roman"/>
          <w:b/>
          <w:bCs/>
        </w:rPr>
        <w:t>5</w:t>
      </w:r>
      <w:r w:rsidR="00837275">
        <w:rPr>
          <w:rFonts w:ascii="Times New Roman" w:hAnsi="Times New Roman" w:cs="Times New Roman"/>
          <w:b/>
          <w:bCs/>
        </w:rPr>
        <w:t>.oktobrim</w:t>
      </w:r>
      <w:r w:rsidRPr="004B228A">
        <w:rPr>
          <w:rFonts w:ascii="Times New Roman" w:hAnsi="Times New Roman" w:cs="Times New Roman"/>
          <w:b/>
          <w:bCs/>
        </w:rPr>
        <w:t xml:space="preserve"> plkst. 1</w:t>
      </w:r>
      <w:r w:rsidR="00B539FE" w:rsidRPr="004B228A">
        <w:rPr>
          <w:rFonts w:ascii="Times New Roman" w:hAnsi="Times New Roman" w:cs="Times New Roman"/>
          <w:b/>
          <w:bCs/>
        </w:rPr>
        <w:t>0</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D63446">
      <w:pPr>
        <w:numPr>
          <w:ilvl w:val="1"/>
          <w:numId w:val="7"/>
        </w:numPr>
        <w:tabs>
          <w:tab w:val="left" w:pos="284"/>
        </w:tabs>
        <w:spacing w:after="0" w:line="240" w:lineRule="auto"/>
        <w:ind w:left="1134" w:hanging="708"/>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42E09AF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lastRenderedPageBreak/>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 xml:space="preserve">2021.gada </w:t>
      </w:r>
      <w:r w:rsidR="002A260D">
        <w:rPr>
          <w:rFonts w:ascii="Times New Roman" w:hAnsi="Times New Roman" w:cs="Times New Roman"/>
          <w:b/>
        </w:rPr>
        <w:t>5</w:t>
      </w:r>
      <w:r w:rsidR="00837275">
        <w:rPr>
          <w:rFonts w:ascii="Times New Roman" w:hAnsi="Times New Roman" w:cs="Times New Roman"/>
          <w:b/>
        </w:rPr>
        <w:t>.oktobrī</w:t>
      </w:r>
      <w:r w:rsidRPr="004B228A">
        <w:rPr>
          <w:rFonts w:ascii="Times New Roman" w:hAnsi="Times New Roman" w:cs="Times New Roman"/>
          <w:b/>
        </w:rPr>
        <w:t xml:space="preserve"> plkst. 1</w:t>
      </w:r>
      <w:r w:rsidR="00B539FE" w:rsidRPr="004B228A">
        <w:rPr>
          <w:rFonts w:ascii="Times New Roman" w:hAnsi="Times New Roman" w:cs="Times New Roman"/>
          <w:b/>
        </w:rPr>
        <w:t>0</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Sagatavojot piedāvājumu, Pretendents ievēro, ka:</w:t>
      </w:r>
    </w:p>
    <w:p w14:paraId="2E405A88" w14:textId="77777777" w:rsidR="00E75D9B" w:rsidRPr="004B228A" w:rsidRDefault="00E75D9B" w:rsidP="00D63446">
      <w:pPr>
        <w:numPr>
          <w:ilvl w:val="2"/>
          <w:numId w:val="7"/>
        </w:numPr>
        <w:tabs>
          <w:tab w:val="left" w:pos="1134"/>
        </w:tabs>
        <w:spacing w:after="0" w:line="240" w:lineRule="auto"/>
        <w:ind w:left="1701" w:hanging="708"/>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4B228A" w:rsidRDefault="00E75D9B" w:rsidP="00D63446">
      <w:pPr>
        <w:numPr>
          <w:ilvl w:val="2"/>
          <w:numId w:val="7"/>
        </w:numPr>
        <w:tabs>
          <w:tab w:val="left" w:pos="1560"/>
        </w:tabs>
        <w:spacing w:after="0" w:line="240" w:lineRule="auto"/>
        <w:ind w:left="1701" w:hanging="708"/>
        <w:jc w:val="both"/>
        <w:rPr>
          <w:rFonts w:ascii="Times New Roman" w:hAnsi="Times New Roman" w:cs="Times New Roman"/>
        </w:rPr>
      </w:pPr>
      <w:r w:rsidRPr="004B228A">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D63446">
      <w:pPr>
        <w:numPr>
          <w:ilvl w:val="1"/>
          <w:numId w:val="7"/>
        </w:numPr>
        <w:spacing w:after="0" w:line="240" w:lineRule="auto"/>
        <w:ind w:left="1134" w:hanging="642"/>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1" w:name="_Toc83216226"/>
      <w:r w:rsidRPr="00953A15">
        <w:t>CITI NOTEIKUMI</w:t>
      </w:r>
      <w:bookmarkEnd w:id="11"/>
    </w:p>
    <w:p w14:paraId="6E2402B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Iepirkuma komisija pretendentu kvalifikācijas</w:t>
      </w:r>
      <w:r w:rsidR="00065676" w:rsidRPr="004B228A">
        <w:rPr>
          <w:sz w:val="22"/>
          <w:szCs w:val="22"/>
          <w:lang w:val="lv-LV"/>
        </w:rPr>
        <w:t xml:space="preserve"> un atlases</w:t>
      </w:r>
      <w:r w:rsidRPr="004B228A">
        <w:rPr>
          <w:sz w:val="22"/>
          <w:szCs w:val="22"/>
          <w:lang w:val="lv-LV"/>
        </w:rPr>
        <w:t xml:space="preserve"> atbilstības pārbaudi iepirkuma nolikumā noteiktajām prasībām veiks tikai tam pretendentam, kuram būtu piešķiramas iepirkuma līguma slēgšanas tiesības (</w:t>
      </w:r>
      <w:r w:rsidR="007D67EC" w:rsidRPr="004B228A">
        <w:rPr>
          <w:sz w:val="22"/>
          <w:szCs w:val="22"/>
          <w:lang w:val="lv-LV"/>
        </w:rPr>
        <w:t>piedāvājums ar zemāko līgumcenu</w:t>
      </w:r>
      <w:r w:rsidRPr="004B228A">
        <w:rPr>
          <w:sz w:val="22"/>
          <w:szCs w:val="22"/>
          <w:lang w:val="lv-LV"/>
        </w:rPr>
        <w:t xml:space="preserve">). </w:t>
      </w:r>
      <w:r w:rsidR="00065676" w:rsidRPr="004B228A">
        <w:rPr>
          <w:sz w:val="22"/>
          <w:szCs w:val="22"/>
          <w:lang w:val="lv-LV"/>
        </w:rPr>
        <w:t>Tehniskā piedāvājuma un f</w:t>
      </w:r>
      <w:r w:rsidRPr="004B228A">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E75D9B">
      <w:pPr>
        <w:pStyle w:val="BlockText"/>
        <w:ind w:left="1134"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158507A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B824125"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D63446">
      <w:pPr>
        <w:pStyle w:val="naisf"/>
        <w:numPr>
          <w:ilvl w:val="1"/>
          <w:numId w:val="7"/>
        </w:numPr>
        <w:spacing w:before="60" w:beforeAutospacing="0" w:after="60" w:afterAutospacing="0"/>
        <w:ind w:left="1134" w:hanging="780"/>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D63446">
      <w:pPr>
        <w:pStyle w:val="naisf"/>
        <w:numPr>
          <w:ilvl w:val="1"/>
          <w:numId w:val="7"/>
        </w:numPr>
        <w:spacing w:before="60" w:beforeAutospacing="0" w:after="60" w:afterAutospacing="0"/>
        <w:ind w:left="1134" w:hanging="782"/>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E75D9B">
      <w:pPr>
        <w:pStyle w:val="BlockText"/>
        <w:ind w:left="1134"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w:t>
      </w:r>
      <w:r w:rsidRPr="004B228A">
        <w:rPr>
          <w:sz w:val="22"/>
          <w:szCs w:val="22"/>
          <w:lang w:val="lv-LV"/>
        </w:rPr>
        <w:lastRenderedPageBreak/>
        <w:t>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D63446">
      <w:pPr>
        <w:pStyle w:val="naisf"/>
        <w:numPr>
          <w:ilvl w:val="1"/>
          <w:numId w:val="7"/>
        </w:numPr>
        <w:spacing w:before="0" w:beforeAutospacing="0" w:after="0" w:afterAutospacing="0"/>
        <w:ind w:left="993" w:hanging="709"/>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2" w:name="_Toc83216227"/>
      <w:r w:rsidRPr="00953A15">
        <w:t>IEPIRKUMA LĪGUMA SLĒGŠANA</w:t>
      </w:r>
      <w:bookmarkEnd w:id="12"/>
    </w:p>
    <w:p w14:paraId="187B272D" w14:textId="77777777" w:rsidR="00E75D9B" w:rsidRPr="004B228A" w:rsidRDefault="00E75D9B" w:rsidP="00D63446">
      <w:pPr>
        <w:numPr>
          <w:ilvl w:val="1"/>
          <w:numId w:val="7"/>
        </w:numPr>
        <w:spacing w:after="120" w:line="240" w:lineRule="auto"/>
        <w:ind w:left="993" w:hanging="709"/>
        <w:jc w:val="both"/>
        <w:rPr>
          <w:rFonts w:ascii="Times New Roman" w:hAnsi="Times New Roman" w:cs="Times New Roman"/>
        </w:rPr>
      </w:pPr>
      <w:r w:rsidRPr="004B228A">
        <w:rPr>
          <w:rFonts w:ascii="Times New Roman" w:hAnsi="Times New Roman" w:cs="Times New Roman"/>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5067"/>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394"/>
    <w:rsid w:val="00A67C4D"/>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20C1"/>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nap.com/en-us/compati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agris.sokolovskis@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4660</Words>
  <Characters>26565</Characters>
  <Application>Microsoft Office Word</Application>
  <DocSecurity>0</DocSecurity>
  <Lines>221</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70</cp:revision>
  <cp:lastPrinted>2021-03-09T09:11:00Z</cp:lastPrinted>
  <dcterms:created xsi:type="dcterms:W3CDTF">2021-04-12T10:09:00Z</dcterms:created>
  <dcterms:modified xsi:type="dcterms:W3CDTF">2021-09-28T08:11:00Z</dcterms:modified>
</cp:coreProperties>
</file>