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097471E9"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706841">
        <w:rPr>
          <w:rFonts w:ascii="Times New Roman" w:eastAsia="Times New Roman" w:hAnsi="Times New Roman" w:cs="Times New Roman"/>
          <w:color w:val="000000"/>
          <w:sz w:val="24"/>
          <w:szCs w:val="24"/>
        </w:rPr>
        <w:t>4</w:t>
      </w:r>
      <w:r w:rsidR="00D35404">
        <w:rPr>
          <w:rFonts w:ascii="Times New Roman" w:eastAsia="Times New Roman" w:hAnsi="Times New Roman" w:cs="Times New Roman"/>
          <w:color w:val="000000"/>
          <w:sz w:val="24"/>
          <w:szCs w:val="24"/>
        </w:rPr>
        <w:t>.novembra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3A1A30A2" w:rsidR="00E75D9B" w:rsidRPr="002674F0" w:rsidRDefault="00E75D9B" w:rsidP="00E75D9B">
      <w:pPr>
        <w:pStyle w:val="BlockText"/>
        <w:ind w:left="142"/>
        <w:jc w:val="center"/>
        <w:rPr>
          <w:b/>
          <w:sz w:val="48"/>
          <w:szCs w:val="48"/>
        </w:rPr>
      </w:pPr>
      <w:r w:rsidRPr="00A67D0E">
        <w:rPr>
          <w:b/>
          <w:sz w:val="48"/>
          <w:szCs w:val="48"/>
        </w:rPr>
        <w:t>“</w:t>
      </w:r>
      <w:r w:rsidR="0059516B" w:rsidRPr="0059516B">
        <w:rPr>
          <w:b/>
          <w:sz w:val="48"/>
          <w:szCs w:val="48"/>
        </w:rPr>
        <w:t xml:space="preserve">Videonovērošanas </w:t>
      </w:r>
      <w:r w:rsidR="00E74491">
        <w:rPr>
          <w:b/>
          <w:sz w:val="48"/>
          <w:szCs w:val="48"/>
        </w:rPr>
        <w:t>kameru</w:t>
      </w:r>
      <w:r w:rsidR="002A62A0">
        <w:rPr>
          <w:b/>
          <w:sz w:val="48"/>
          <w:szCs w:val="48"/>
        </w:rPr>
        <w:t xml:space="preserve"> 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6A5CE115"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E74491">
        <w:rPr>
          <w:rFonts w:ascii="Times New Roman" w:hAnsi="Times New Roman" w:cs="Times New Roman"/>
          <w:b/>
          <w:sz w:val="36"/>
          <w:szCs w:val="48"/>
        </w:rPr>
        <w:t>11</w:t>
      </w:r>
      <w:r w:rsidR="00706841">
        <w:rPr>
          <w:rFonts w:ascii="Times New Roman" w:hAnsi="Times New Roman" w:cs="Times New Roman"/>
          <w:b/>
          <w:sz w:val="36"/>
          <w:szCs w:val="48"/>
        </w:rPr>
        <w:t>3</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06F03526" w14:textId="77777777" w:rsidR="004B228A"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3216217" w:history="1">
        <w:r w:rsidR="004B228A" w:rsidRPr="00D77E08">
          <w:rPr>
            <w:rStyle w:val="Hyperlink"/>
            <w:noProof/>
          </w:rPr>
          <w:t>1.</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VISPĀRĪGA INFORMĀCIJA</w:t>
        </w:r>
        <w:r w:rsidR="004B228A">
          <w:rPr>
            <w:noProof/>
            <w:webHidden/>
          </w:rPr>
          <w:tab/>
        </w:r>
        <w:r w:rsidR="004B228A">
          <w:rPr>
            <w:noProof/>
            <w:webHidden/>
          </w:rPr>
          <w:fldChar w:fldCharType="begin"/>
        </w:r>
        <w:r w:rsidR="004B228A">
          <w:rPr>
            <w:noProof/>
            <w:webHidden/>
          </w:rPr>
          <w:instrText xml:space="preserve"> PAGEREF _Toc83216217 \h </w:instrText>
        </w:r>
        <w:r w:rsidR="004B228A">
          <w:rPr>
            <w:noProof/>
            <w:webHidden/>
          </w:rPr>
        </w:r>
        <w:r w:rsidR="004B228A">
          <w:rPr>
            <w:noProof/>
            <w:webHidden/>
          </w:rPr>
          <w:fldChar w:fldCharType="separate"/>
        </w:r>
        <w:r w:rsidR="004B228A">
          <w:rPr>
            <w:noProof/>
            <w:webHidden/>
          </w:rPr>
          <w:t>3</w:t>
        </w:r>
        <w:r w:rsidR="004B228A">
          <w:rPr>
            <w:noProof/>
            <w:webHidden/>
          </w:rPr>
          <w:fldChar w:fldCharType="end"/>
        </w:r>
      </w:hyperlink>
    </w:p>
    <w:p w14:paraId="48339B6A"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18" w:history="1">
        <w:r w:rsidR="004B228A" w:rsidRPr="00D77E08">
          <w:rPr>
            <w:rStyle w:val="Hyperlink"/>
            <w:bCs/>
            <w:noProof/>
          </w:rPr>
          <w:t>2.</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INFORMĀCIJA PAR IEPIRKUMA PRIEKŠMETU</w:t>
        </w:r>
        <w:r w:rsidR="004B228A">
          <w:rPr>
            <w:noProof/>
            <w:webHidden/>
          </w:rPr>
          <w:tab/>
        </w:r>
        <w:r w:rsidR="004B228A">
          <w:rPr>
            <w:noProof/>
            <w:webHidden/>
          </w:rPr>
          <w:fldChar w:fldCharType="begin"/>
        </w:r>
        <w:r w:rsidR="004B228A">
          <w:rPr>
            <w:noProof/>
            <w:webHidden/>
          </w:rPr>
          <w:instrText xml:space="preserve"> PAGEREF _Toc83216218 \h </w:instrText>
        </w:r>
        <w:r w:rsidR="004B228A">
          <w:rPr>
            <w:noProof/>
            <w:webHidden/>
          </w:rPr>
        </w:r>
        <w:r w:rsidR="004B228A">
          <w:rPr>
            <w:noProof/>
            <w:webHidden/>
          </w:rPr>
          <w:fldChar w:fldCharType="separate"/>
        </w:r>
        <w:r w:rsidR="004B228A">
          <w:rPr>
            <w:noProof/>
            <w:webHidden/>
          </w:rPr>
          <w:t>3</w:t>
        </w:r>
        <w:r w:rsidR="004B228A">
          <w:rPr>
            <w:noProof/>
            <w:webHidden/>
          </w:rPr>
          <w:fldChar w:fldCharType="end"/>
        </w:r>
      </w:hyperlink>
    </w:p>
    <w:p w14:paraId="7EDE1C94"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19" w:history="1">
        <w:r w:rsidR="004B228A" w:rsidRPr="00D77E08">
          <w:rPr>
            <w:rStyle w:val="Hyperlink"/>
            <w:noProof/>
          </w:rPr>
          <w:t>3.</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IEPIRKUMA PROCEDŪRAS DOKUMENTI</w:t>
        </w:r>
        <w:r w:rsidR="004B228A">
          <w:rPr>
            <w:noProof/>
            <w:webHidden/>
          </w:rPr>
          <w:tab/>
        </w:r>
        <w:r w:rsidR="004B228A">
          <w:rPr>
            <w:noProof/>
            <w:webHidden/>
          </w:rPr>
          <w:fldChar w:fldCharType="begin"/>
        </w:r>
        <w:r w:rsidR="004B228A">
          <w:rPr>
            <w:noProof/>
            <w:webHidden/>
          </w:rPr>
          <w:instrText xml:space="preserve"> PAGEREF _Toc83216219 \h </w:instrText>
        </w:r>
        <w:r w:rsidR="004B228A">
          <w:rPr>
            <w:noProof/>
            <w:webHidden/>
          </w:rPr>
        </w:r>
        <w:r w:rsidR="004B228A">
          <w:rPr>
            <w:noProof/>
            <w:webHidden/>
          </w:rPr>
          <w:fldChar w:fldCharType="separate"/>
        </w:r>
        <w:r w:rsidR="004B228A">
          <w:rPr>
            <w:noProof/>
            <w:webHidden/>
          </w:rPr>
          <w:t>4</w:t>
        </w:r>
        <w:r w:rsidR="004B228A">
          <w:rPr>
            <w:noProof/>
            <w:webHidden/>
          </w:rPr>
          <w:fldChar w:fldCharType="end"/>
        </w:r>
      </w:hyperlink>
    </w:p>
    <w:p w14:paraId="29FB4943"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20" w:history="1">
        <w:r w:rsidR="004B228A" w:rsidRPr="00D77E08">
          <w:rPr>
            <w:rStyle w:val="Hyperlink"/>
            <w:noProof/>
          </w:rPr>
          <w:t>4.</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DALĪBAS NOSACĪJUMI IEPIRKUMA PROCEDŪRĀ</w:t>
        </w:r>
        <w:r w:rsidR="004B228A">
          <w:rPr>
            <w:noProof/>
            <w:webHidden/>
          </w:rPr>
          <w:tab/>
        </w:r>
        <w:r w:rsidR="004B228A">
          <w:rPr>
            <w:noProof/>
            <w:webHidden/>
          </w:rPr>
          <w:fldChar w:fldCharType="begin"/>
        </w:r>
        <w:r w:rsidR="004B228A">
          <w:rPr>
            <w:noProof/>
            <w:webHidden/>
          </w:rPr>
          <w:instrText xml:space="preserve"> PAGEREF _Toc83216220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28364D9B"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21" w:history="1">
        <w:r w:rsidR="004B228A" w:rsidRPr="00D77E08">
          <w:rPr>
            <w:rStyle w:val="Hyperlink"/>
            <w:noProof/>
          </w:rPr>
          <w:t>5.</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IESNIEDZAMIE DOKUMENTI:</w:t>
        </w:r>
        <w:r w:rsidR="004B228A">
          <w:rPr>
            <w:noProof/>
            <w:webHidden/>
          </w:rPr>
          <w:tab/>
        </w:r>
        <w:r w:rsidR="004B228A">
          <w:rPr>
            <w:noProof/>
            <w:webHidden/>
          </w:rPr>
          <w:fldChar w:fldCharType="begin"/>
        </w:r>
        <w:r w:rsidR="004B228A">
          <w:rPr>
            <w:noProof/>
            <w:webHidden/>
          </w:rPr>
          <w:instrText xml:space="preserve"> PAGEREF _Toc83216221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464C0AFA"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22" w:history="1">
        <w:r w:rsidR="004B228A" w:rsidRPr="00D77E08">
          <w:rPr>
            <w:rStyle w:val="Hyperlink"/>
            <w:noProof/>
          </w:rPr>
          <w:t>6.</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PRETENDENTU KVALIFIKĀCIJAS PRASĪBAS / DALĪBAS NOSACĪJUMI UN ATLASES DOKUMENTI</w:t>
        </w:r>
        <w:r w:rsidR="004B228A">
          <w:rPr>
            <w:noProof/>
            <w:webHidden/>
          </w:rPr>
          <w:tab/>
        </w:r>
        <w:r w:rsidR="004B228A">
          <w:rPr>
            <w:noProof/>
            <w:webHidden/>
          </w:rPr>
          <w:fldChar w:fldCharType="begin"/>
        </w:r>
        <w:r w:rsidR="004B228A">
          <w:rPr>
            <w:noProof/>
            <w:webHidden/>
          </w:rPr>
          <w:instrText xml:space="preserve"> PAGEREF _Toc83216222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6E4DE039"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23" w:history="1">
        <w:r w:rsidR="004B228A" w:rsidRPr="00D77E08">
          <w:rPr>
            <w:rStyle w:val="Hyperlink"/>
            <w:noProof/>
          </w:rPr>
          <w:t>7.</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TEHNISKAIS PIEDĀVĀJUMS UN FINANŠU PIEDĀVĀJUMS</w:t>
        </w:r>
        <w:r w:rsidR="004B228A">
          <w:rPr>
            <w:noProof/>
            <w:webHidden/>
          </w:rPr>
          <w:tab/>
        </w:r>
        <w:r w:rsidR="004B228A">
          <w:rPr>
            <w:noProof/>
            <w:webHidden/>
          </w:rPr>
          <w:fldChar w:fldCharType="begin"/>
        </w:r>
        <w:r w:rsidR="004B228A">
          <w:rPr>
            <w:noProof/>
            <w:webHidden/>
          </w:rPr>
          <w:instrText xml:space="preserve"> PAGEREF _Toc83216223 \h </w:instrText>
        </w:r>
        <w:r w:rsidR="004B228A">
          <w:rPr>
            <w:noProof/>
            <w:webHidden/>
          </w:rPr>
        </w:r>
        <w:r w:rsidR="004B228A">
          <w:rPr>
            <w:noProof/>
            <w:webHidden/>
          </w:rPr>
          <w:fldChar w:fldCharType="separate"/>
        </w:r>
        <w:r w:rsidR="004B228A">
          <w:rPr>
            <w:noProof/>
            <w:webHidden/>
          </w:rPr>
          <w:t>8</w:t>
        </w:r>
        <w:r w:rsidR="004B228A">
          <w:rPr>
            <w:noProof/>
            <w:webHidden/>
          </w:rPr>
          <w:fldChar w:fldCharType="end"/>
        </w:r>
      </w:hyperlink>
    </w:p>
    <w:p w14:paraId="3C9FEEE2"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24" w:history="1">
        <w:r w:rsidR="004B228A" w:rsidRPr="00D77E08">
          <w:rPr>
            <w:rStyle w:val="Hyperlink"/>
            <w:noProof/>
          </w:rPr>
          <w:t>8.</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PIEDĀVĀJUMA SAGATAVOŠANA UN NOFORMĒŠANA</w:t>
        </w:r>
        <w:r w:rsidR="004B228A">
          <w:rPr>
            <w:noProof/>
            <w:webHidden/>
          </w:rPr>
          <w:tab/>
        </w:r>
        <w:r w:rsidR="004B228A">
          <w:rPr>
            <w:noProof/>
            <w:webHidden/>
          </w:rPr>
          <w:fldChar w:fldCharType="begin"/>
        </w:r>
        <w:r w:rsidR="004B228A">
          <w:rPr>
            <w:noProof/>
            <w:webHidden/>
          </w:rPr>
          <w:instrText xml:space="preserve"> PAGEREF _Toc83216224 \h </w:instrText>
        </w:r>
        <w:r w:rsidR="004B228A">
          <w:rPr>
            <w:noProof/>
            <w:webHidden/>
          </w:rPr>
        </w:r>
        <w:r w:rsidR="004B228A">
          <w:rPr>
            <w:noProof/>
            <w:webHidden/>
          </w:rPr>
          <w:fldChar w:fldCharType="separate"/>
        </w:r>
        <w:r w:rsidR="004B228A">
          <w:rPr>
            <w:noProof/>
            <w:webHidden/>
          </w:rPr>
          <w:t>8</w:t>
        </w:r>
        <w:r w:rsidR="004B228A">
          <w:rPr>
            <w:noProof/>
            <w:webHidden/>
          </w:rPr>
          <w:fldChar w:fldCharType="end"/>
        </w:r>
      </w:hyperlink>
    </w:p>
    <w:p w14:paraId="5E9C1776"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25" w:history="1">
        <w:r w:rsidR="004B228A" w:rsidRPr="00D77E08">
          <w:rPr>
            <w:rStyle w:val="Hyperlink"/>
            <w:noProof/>
          </w:rPr>
          <w:t>9.</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PIEDĀVĀJUMA IESNIEGŠANA UN ATVĒRŠANA</w:t>
        </w:r>
        <w:r w:rsidR="004B228A">
          <w:rPr>
            <w:noProof/>
            <w:webHidden/>
          </w:rPr>
          <w:tab/>
        </w:r>
        <w:r w:rsidR="004B228A">
          <w:rPr>
            <w:noProof/>
            <w:webHidden/>
          </w:rPr>
          <w:fldChar w:fldCharType="begin"/>
        </w:r>
        <w:r w:rsidR="004B228A">
          <w:rPr>
            <w:noProof/>
            <w:webHidden/>
          </w:rPr>
          <w:instrText xml:space="preserve"> PAGEREF _Toc83216225 \h </w:instrText>
        </w:r>
        <w:r w:rsidR="004B228A">
          <w:rPr>
            <w:noProof/>
            <w:webHidden/>
          </w:rPr>
        </w:r>
        <w:r w:rsidR="004B228A">
          <w:rPr>
            <w:noProof/>
            <w:webHidden/>
          </w:rPr>
          <w:fldChar w:fldCharType="separate"/>
        </w:r>
        <w:r w:rsidR="004B228A">
          <w:rPr>
            <w:noProof/>
            <w:webHidden/>
          </w:rPr>
          <w:t>9</w:t>
        </w:r>
        <w:r w:rsidR="004B228A">
          <w:rPr>
            <w:noProof/>
            <w:webHidden/>
          </w:rPr>
          <w:fldChar w:fldCharType="end"/>
        </w:r>
      </w:hyperlink>
    </w:p>
    <w:p w14:paraId="253CEF06"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26" w:history="1">
        <w:r w:rsidR="004B228A" w:rsidRPr="00D77E08">
          <w:rPr>
            <w:rStyle w:val="Hyperlink"/>
            <w:noProof/>
          </w:rPr>
          <w:t>10.</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CITI NOTEIKUMI</w:t>
        </w:r>
        <w:r w:rsidR="004B228A">
          <w:rPr>
            <w:noProof/>
            <w:webHidden/>
          </w:rPr>
          <w:tab/>
        </w:r>
        <w:r w:rsidR="004B228A">
          <w:rPr>
            <w:noProof/>
            <w:webHidden/>
          </w:rPr>
          <w:fldChar w:fldCharType="begin"/>
        </w:r>
        <w:r w:rsidR="004B228A">
          <w:rPr>
            <w:noProof/>
            <w:webHidden/>
          </w:rPr>
          <w:instrText xml:space="preserve"> PAGEREF _Toc83216226 \h </w:instrText>
        </w:r>
        <w:r w:rsidR="004B228A">
          <w:rPr>
            <w:noProof/>
            <w:webHidden/>
          </w:rPr>
        </w:r>
        <w:r w:rsidR="004B228A">
          <w:rPr>
            <w:noProof/>
            <w:webHidden/>
          </w:rPr>
          <w:fldChar w:fldCharType="separate"/>
        </w:r>
        <w:r w:rsidR="004B228A">
          <w:rPr>
            <w:noProof/>
            <w:webHidden/>
          </w:rPr>
          <w:t>10</w:t>
        </w:r>
        <w:r w:rsidR="004B228A">
          <w:rPr>
            <w:noProof/>
            <w:webHidden/>
          </w:rPr>
          <w:fldChar w:fldCharType="end"/>
        </w:r>
      </w:hyperlink>
    </w:p>
    <w:p w14:paraId="2DAA74E6" w14:textId="77777777" w:rsidR="004B228A" w:rsidRDefault="00706841">
      <w:pPr>
        <w:pStyle w:val="TOC1"/>
        <w:rPr>
          <w:rFonts w:asciiTheme="minorHAnsi" w:eastAsiaTheme="minorEastAsia" w:hAnsiTheme="minorHAnsi" w:cstheme="minorBidi"/>
          <w:noProof/>
          <w:sz w:val="22"/>
          <w:szCs w:val="22"/>
          <w:lang w:val="en-US" w:eastAsia="en-US"/>
        </w:rPr>
      </w:pPr>
      <w:hyperlink w:anchor="_Toc83216227" w:history="1">
        <w:r w:rsidR="004B228A" w:rsidRPr="00D77E08">
          <w:rPr>
            <w:rStyle w:val="Hyperlink"/>
            <w:noProof/>
          </w:rPr>
          <w:t>11.</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IEPIRKUMA LĪGUMA SLĒGŠANA</w:t>
        </w:r>
        <w:r w:rsidR="004B228A">
          <w:rPr>
            <w:noProof/>
            <w:webHidden/>
          </w:rPr>
          <w:tab/>
        </w:r>
        <w:r w:rsidR="004B228A">
          <w:rPr>
            <w:noProof/>
            <w:webHidden/>
          </w:rPr>
          <w:fldChar w:fldCharType="begin"/>
        </w:r>
        <w:r w:rsidR="004B228A">
          <w:rPr>
            <w:noProof/>
            <w:webHidden/>
          </w:rPr>
          <w:instrText xml:space="preserve"> PAGEREF _Toc83216227 \h </w:instrText>
        </w:r>
        <w:r w:rsidR="004B228A">
          <w:rPr>
            <w:noProof/>
            <w:webHidden/>
          </w:rPr>
        </w:r>
        <w:r w:rsidR="004B228A">
          <w:rPr>
            <w:noProof/>
            <w:webHidden/>
          </w:rPr>
          <w:fldChar w:fldCharType="separate"/>
        </w:r>
        <w:r w:rsidR="004B228A">
          <w:rPr>
            <w:noProof/>
            <w:webHidden/>
          </w:rPr>
          <w:t>12</w:t>
        </w:r>
        <w:r w:rsidR="004B228A">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Heading1"/>
        <w:numPr>
          <w:ilvl w:val="0"/>
          <w:numId w:val="1"/>
        </w:numPr>
      </w:pPr>
      <w:bookmarkStart w:id="0" w:name="_Toc83216217"/>
      <w:r w:rsidRPr="00953A15">
        <w:t>VISPĀRĪGA INFORMĀCIJA</w:t>
      </w:r>
      <w:bookmarkEnd w:id="0"/>
    </w:p>
    <w:p w14:paraId="6A90D6E4" w14:textId="3FFEF22F" w:rsidR="00E75D9B" w:rsidRPr="004B228A" w:rsidRDefault="00E75D9B" w:rsidP="00D63446">
      <w:pPr>
        <w:pStyle w:val="ListParagraph"/>
        <w:numPr>
          <w:ilvl w:val="1"/>
          <w:numId w:val="1"/>
        </w:numPr>
        <w:ind w:left="851" w:hanging="425"/>
        <w:rPr>
          <w:rFonts w:ascii="Times New Roman" w:hAnsi="Times New Roman" w:cs="Times New Roman"/>
        </w:rPr>
      </w:pPr>
      <w:r w:rsidRPr="00953A15">
        <w:rPr>
          <w:rFonts w:ascii="Times New Roman" w:hAnsi="Times New Roman" w:cs="Times New Roman"/>
          <w:sz w:val="24"/>
          <w:szCs w:val="24"/>
        </w:rPr>
        <w:t xml:space="preserve"> </w:t>
      </w:r>
      <w:r w:rsidRPr="004B228A">
        <w:rPr>
          <w:rFonts w:ascii="Times New Roman" w:hAnsi="Times New Roman" w:cs="Times New Roman"/>
        </w:rPr>
        <w:t>Iepirkuma identifikācijas Nr. VBOP 2021/</w:t>
      </w:r>
      <w:r w:rsidR="00E74491">
        <w:rPr>
          <w:rFonts w:ascii="Times New Roman" w:hAnsi="Times New Roman" w:cs="Times New Roman"/>
        </w:rPr>
        <w:t>11</w:t>
      </w:r>
      <w:r w:rsidR="00706841">
        <w:rPr>
          <w:rFonts w:ascii="Times New Roman" w:hAnsi="Times New Roman" w:cs="Times New Roman"/>
        </w:rPr>
        <w:t>3</w:t>
      </w:r>
      <w:r w:rsidRPr="004B228A">
        <w:rPr>
          <w:rFonts w:ascii="Times New Roman" w:hAnsi="Times New Roman" w:cs="Times New Roman"/>
        </w:rPr>
        <w:t>.</w:t>
      </w:r>
    </w:p>
    <w:p w14:paraId="5190C67D" w14:textId="77777777" w:rsidR="00E75D9B" w:rsidRPr="004B228A" w:rsidRDefault="00E75D9B" w:rsidP="00D63446">
      <w:pPr>
        <w:pStyle w:val="ListParagraph"/>
        <w:numPr>
          <w:ilvl w:val="1"/>
          <w:numId w:val="1"/>
        </w:numPr>
        <w:ind w:left="851" w:hanging="425"/>
        <w:rPr>
          <w:rFonts w:ascii="Times New Roman" w:hAnsi="Times New Roman" w:cs="Times New Roman"/>
          <w:b/>
        </w:rPr>
      </w:pPr>
      <w:r w:rsidRPr="004B228A">
        <w:rPr>
          <w:rFonts w:ascii="Times New Roman" w:hAnsi="Times New Roman" w:cs="Times New Roman"/>
          <w:b/>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B228A" w14:paraId="253B9B48" w14:textId="77777777" w:rsidTr="00822881">
        <w:tc>
          <w:tcPr>
            <w:tcW w:w="3260" w:type="dxa"/>
            <w:vAlign w:val="center"/>
          </w:tcPr>
          <w:p w14:paraId="3A1B8533"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Pasūtītāja nosaukums</w:t>
            </w:r>
          </w:p>
        </w:tc>
        <w:tc>
          <w:tcPr>
            <w:tcW w:w="5529" w:type="dxa"/>
            <w:vAlign w:val="center"/>
          </w:tcPr>
          <w:p w14:paraId="4CD1BC8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Ventspils brīvostas pārvalde</w:t>
            </w:r>
          </w:p>
        </w:tc>
      </w:tr>
      <w:tr w:rsidR="00E75D9B" w:rsidRPr="004B228A" w14:paraId="2D1A42E6" w14:textId="77777777" w:rsidTr="00822881">
        <w:tc>
          <w:tcPr>
            <w:tcW w:w="3260" w:type="dxa"/>
            <w:vAlign w:val="center"/>
          </w:tcPr>
          <w:p w14:paraId="7AC0F11E"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Adrese</w:t>
            </w:r>
          </w:p>
        </w:tc>
        <w:tc>
          <w:tcPr>
            <w:tcW w:w="5529" w:type="dxa"/>
            <w:vAlign w:val="center"/>
          </w:tcPr>
          <w:p w14:paraId="56EF158A"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Jāņa iela 19, Ventspilī, LV-3601</w:t>
            </w:r>
          </w:p>
        </w:tc>
      </w:tr>
      <w:tr w:rsidR="00E75D9B" w:rsidRPr="004B228A" w14:paraId="0E11F6A0" w14:textId="77777777" w:rsidTr="00822881">
        <w:tc>
          <w:tcPr>
            <w:tcW w:w="3260" w:type="dxa"/>
            <w:vAlign w:val="center"/>
          </w:tcPr>
          <w:p w14:paraId="63853D61"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Nodokļu maksātāja reģistrācijas numurs</w:t>
            </w:r>
          </w:p>
        </w:tc>
        <w:tc>
          <w:tcPr>
            <w:tcW w:w="5529" w:type="dxa"/>
            <w:vAlign w:val="center"/>
          </w:tcPr>
          <w:p w14:paraId="0990AB8D"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90000284085</w:t>
            </w:r>
          </w:p>
        </w:tc>
      </w:tr>
      <w:tr w:rsidR="00E75D9B" w:rsidRPr="004B228A" w14:paraId="64140E01" w14:textId="77777777" w:rsidTr="00822881">
        <w:tc>
          <w:tcPr>
            <w:tcW w:w="3260" w:type="dxa"/>
            <w:vAlign w:val="center"/>
          </w:tcPr>
          <w:p w14:paraId="622F06A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Tālruņa numurs</w:t>
            </w:r>
          </w:p>
        </w:tc>
        <w:tc>
          <w:tcPr>
            <w:tcW w:w="5529" w:type="dxa"/>
            <w:vAlign w:val="center"/>
          </w:tcPr>
          <w:p w14:paraId="411F2D2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63622586</w:t>
            </w:r>
          </w:p>
        </w:tc>
      </w:tr>
      <w:tr w:rsidR="00E75D9B" w:rsidRPr="004B228A" w14:paraId="21BD8AD4" w14:textId="77777777" w:rsidTr="00822881">
        <w:tc>
          <w:tcPr>
            <w:tcW w:w="3260" w:type="dxa"/>
            <w:vAlign w:val="center"/>
          </w:tcPr>
          <w:p w14:paraId="706A1839"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Faksa numurs</w:t>
            </w:r>
          </w:p>
        </w:tc>
        <w:tc>
          <w:tcPr>
            <w:tcW w:w="5529" w:type="dxa"/>
            <w:vAlign w:val="center"/>
          </w:tcPr>
          <w:p w14:paraId="31303712"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63621297</w:t>
            </w:r>
          </w:p>
        </w:tc>
      </w:tr>
      <w:tr w:rsidR="00E75D9B" w:rsidRPr="004B228A" w14:paraId="494E11E6" w14:textId="77777777" w:rsidTr="00822881">
        <w:tc>
          <w:tcPr>
            <w:tcW w:w="3260" w:type="dxa"/>
            <w:vAlign w:val="center"/>
          </w:tcPr>
          <w:p w14:paraId="7F839FF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E-pasta adrese</w:t>
            </w:r>
          </w:p>
        </w:tc>
        <w:tc>
          <w:tcPr>
            <w:tcW w:w="5529" w:type="dxa"/>
            <w:vAlign w:val="center"/>
          </w:tcPr>
          <w:p w14:paraId="779C7C00" w14:textId="77777777" w:rsidR="00E75D9B" w:rsidRPr="004B228A" w:rsidRDefault="00706841" w:rsidP="00822881">
            <w:pPr>
              <w:overflowPunct w:val="0"/>
              <w:autoSpaceDE w:val="0"/>
              <w:autoSpaceDN w:val="0"/>
              <w:adjustRightInd w:val="0"/>
              <w:spacing w:after="0"/>
              <w:textAlignment w:val="baseline"/>
              <w:rPr>
                <w:rFonts w:ascii="Times New Roman" w:hAnsi="Times New Roman" w:cs="Times New Roman"/>
              </w:rPr>
            </w:pPr>
            <w:hyperlink r:id="rId8" w:history="1">
              <w:r w:rsidR="00E75D9B" w:rsidRPr="004B228A">
                <w:rPr>
                  <w:rStyle w:val="Hyperlink"/>
                  <w:rFonts w:ascii="Times New Roman" w:hAnsi="Times New Roman" w:cs="Times New Roman"/>
                </w:rPr>
                <w:t>iepirkumi@vbp.lv</w:t>
              </w:r>
            </w:hyperlink>
            <w:r w:rsidR="00E75D9B" w:rsidRPr="004B228A">
              <w:rPr>
                <w:rFonts w:ascii="Times New Roman" w:hAnsi="Times New Roman" w:cs="Times New Roman"/>
              </w:rPr>
              <w:t xml:space="preserve"> </w:t>
            </w:r>
          </w:p>
        </w:tc>
      </w:tr>
      <w:tr w:rsidR="00E75D9B" w:rsidRPr="004B228A" w14:paraId="260651EB" w14:textId="77777777" w:rsidTr="00822881">
        <w:tc>
          <w:tcPr>
            <w:tcW w:w="3260" w:type="dxa"/>
            <w:vAlign w:val="center"/>
          </w:tcPr>
          <w:p w14:paraId="53116EC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Kontaktpersona </w:t>
            </w:r>
          </w:p>
        </w:tc>
        <w:tc>
          <w:tcPr>
            <w:tcW w:w="5529" w:type="dxa"/>
            <w:vAlign w:val="center"/>
          </w:tcPr>
          <w:p w14:paraId="5ED4D543" w14:textId="4EFA1F23" w:rsidR="00E75D9B" w:rsidRPr="004B228A" w:rsidRDefault="00321522" w:rsidP="00321522">
            <w:pPr>
              <w:overflowPunct w:val="0"/>
              <w:autoSpaceDE w:val="0"/>
              <w:autoSpaceDN w:val="0"/>
              <w:adjustRightInd w:val="0"/>
              <w:spacing w:after="0"/>
              <w:jc w:val="both"/>
              <w:textAlignment w:val="baseline"/>
              <w:rPr>
                <w:rFonts w:ascii="Times New Roman" w:hAnsi="Times New Roman" w:cs="Times New Roman"/>
              </w:rPr>
            </w:pPr>
            <w:r w:rsidRPr="004B228A">
              <w:rPr>
                <w:rFonts w:ascii="Times New Roman" w:hAnsi="Times New Roman" w:cs="Times New Roman"/>
                <w:bCs/>
              </w:rPr>
              <w:t xml:space="preserve">Sergejs Harkovs, tālr. </w:t>
            </w:r>
            <w:r w:rsidR="00E74491">
              <w:rPr>
                <w:rFonts w:ascii="Times New Roman" w:hAnsi="Times New Roman" w:cs="Times New Roman"/>
                <w:bCs/>
              </w:rPr>
              <w:t>62102861</w:t>
            </w:r>
            <w:r w:rsidRPr="004B228A">
              <w:rPr>
                <w:rFonts w:ascii="Times New Roman" w:hAnsi="Times New Roman" w:cs="Times New Roman"/>
                <w:bCs/>
              </w:rPr>
              <w:t xml:space="preserve">, e-pasta adrese: </w:t>
            </w:r>
            <w:hyperlink r:id="rId9" w:history="1">
              <w:r w:rsidRPr="004B228A">
                <w:rPr>
                  <w:rStyle w:val="Hyperlink"/>
                  <w:rFonts w:ascii="Times New Roman" w:hAnsi="Times New Roman" w:cs="Times New Roman"/>
                  <w:bCs/>
                </w:rPr>
                <w:t>sergejs.harkovs@vbp.lv</w:t>
              </w:r>
            </w:hyperlink>
            <w:r w:rsidRPr="004B228A">
              <w:rPr>
                <w:rFonts w:ascii="Times New Roman" w:hAnsi="Times New Roman" w:cs="Times New Roman"/>
                <w:bCs/>
              </w:rPr>
              <w:t xml:space="preserve"> </w:t>
            </w:r>
            <w:r w:rsidR="00A55394">
              <w:rPr>
                <w:rFonts w:ascii="Times New Roman" w:hAnsi="Times New Roman" w:cs="Times New Roman"/>
                <w:bCs/>
              </w:rPr>
              <w:t xml:space="preserve">vai </w:t>
            </w:r>
            <w:hyperlink r:id="rId10" w:history="1">
              <w:r w:rsidR="00A55394" w:rsidRPr="003E3A2C">
                <w:rPr>
                  <w:rStyle w:val="Hyperlink"/>
                  <w:rFonts w:ascii="Times New Roman" w:hAnsi="Times New Roman" w:cs="Times New Roman"/>
                  <w:bCs/>
                </w:rPr>
                <w:t>iepirkumi@vbp.lv</w:t>
              </w:r>
            </w:hyperlink>
            <w:r w:rsidR="00A55394">
              <w:rPr>
                <w:rFonts w:ascii="Times New Roman" w:hAnsi="Times New Roman" w:cs="Times New Roman"/>
                <w:bCs/>
              </w:rPr>
              <w:t xml:space="preserve"> </w:t>
            </w:r>
          </w:p>
        </w:tc>
      </w:tr>
      <w:tr w:rsidR="00E75D9B" w:rsidRPr="004B228A" w14:paraId="57EFC7F8" w14:textId="77777777" w:rsidTr="00822881">
        <w:tc>
          <w:tcPr>
            <w:tcW w:w="3260" w:type="dxa"/>
            <w:vAlign w:val="center"/>
          </w:tcPr>
          <w:p w14:paraId="5B81716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Banka </w:t>
            </w:r>
          </w:p>
        </w:tc>
        <w:tc>
          <w:tcPr>
            <w:tcW w:w="5529" w:type="dxa"/>
            <w:vAlign w:val="center"/>
          </w:tcPr>
          <w:p w14:paraId="0FE82568"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AS „Luminor Bank”, bankas kods RIKOLV2X</w:t>
            </w:r>
          </w:p>
        </w:tc>
      </w:tr>
      <w:tr w:rsidR="00E75D9B" w:rsidRPr="004B228A" w14:paraId="4F52C3FF" w14:textId="77777777" w:rsidTr="00822881">
        <w:tc>
          <w:tcPr>
            <w:tcW w:w="3260" w:type="dxa"/>
            <w:vAlign w:val="center"/>
          </w:tcPr>
          <w:p w14:paraId="24D74FFC"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Bankas konts</w:t>
            </w:r>
          </w:p>
        </w:tc>
        <w:tc>
          <w:tcPr>
            <w:tcW w:w="5529" w:type="dxa"/>
            <w:vAlign w:val="center"/>
          </w:tcPr>
          <w:p w14:paraId="732436A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LV73RIKO0002210002268</w:t>
            </w:r>
          </w:p>
        </w:tc>
      </w:tr>
    </w:tbl>
    <w:p w14:paraId="3535E12F" w14:textId="77777777" w:rsidR="00E75D9B" w:rsidRPr="004B228A" w:rsidRDefault="00E75D9B" w:rsidP="00E75D9B">
      <w:pPr>
        <w:spacing w:after="120" w:line="240" w:lineRule="auto"/>
        <w:ind w:left="720" w:right="-57"/>
        <w:jc w:val="both"/>
        <w:rPr>
          <w:rFonts w:ascii="Times New Roman" w:eastAsia="Times New Roman" w:hAnsi="Times New Roman" w:cs="Times New Roman"/>
        </w:rPr>
      </w:pPr>
    </w:p>
    <w:p w14:paraId="6F0C8FDA"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Iepirkuma norisi nodrošina Ventspils brīvostas pārvaldes izveidota iepirkumu komisija (turpmāk - Komisija).</w:t>
      </w:r>
    </w:p>
    <w:p w14:paraId="4FF79ED9"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 xml:space="preserve">Iepirkums </w:t>
      </w:r>
      <w:r w:rsidRPr="004B228A">
        <w:rPr>
          <w:rFonts w:ascii="Times New Roman" w:eastAsia="Times New Roman" w:hAnsi="Times New Roman" w:cs="Times New Roman"/>
        </w:rPr>
        <w:t>– atklāts iepirkums.</w:t>
      </w:r>
    </w:p>
    <w:p w14:paraId="6995C006"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Ieinteresētais piegādātājs</w:t>
      </w:r>
      <w:r w:rsidRPr="004B228A">
        <w:rPr>
          <w:rFonts w:ascii="Times New Roman" w:eastAsia="Times New Roman" w:hAnsi="Times New Roman" w:cs="Times New Roman"/>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228A">
        <w:rPr>
          <w:b/>
          <w:vertAlign w:val="superscript"/>
        </w:rPr>
        <w:footnoteReference w:id="1"/>
      </w:r>
      <w:r w:rsidRPr="004B228A">
        <w:rPr>
          <w:rFonts w:ascii="Times New Roman" w:eastAsia="Times New Roman" w:hAnsi="Times New Roman" w:cs="Times New Roman"/>
        </w:rPr>
        <w:t xml:space="preserve">. </w:t>
      </w:r>
    </w:p>
    <w:p w14:paraId="31E54EB3"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Pretendents</w:t>
      </w:r>
      <w:r w:rsidRPr="004B228A">
        <w:rPr>
          <w:rFonts w:ascii="Times New Roman" w:eastAsia="Times New Roman" w:hAnsi="Times New Roman" w:cs="Times New Roman"/>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83216218"/>
      <w:r w:rsidRPr="00953A15">
        <w:t>INFORMĀCIJA PAR IEPIRKUMA PRIEKŠMETU</w:t>
      </w:r>
      <w:bookmarkEnd w:id="1"/>
    </w:p>
    <w:p w14:paraId="4B7B0822" w14:textId="346152C8" w:rsidR="004B228A" w:rsidRPr="004B228A" w:rsidRDefault="00E75D9B"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eastAsia="Calibri" w:hAnsi="Times New Roman" w:cs="Times New Roman"/>
          <w:b/>
        </w:rPr>
        <w:t>Iepirkuma priekšmets:</w:t>
      </w:r>
      <w:r w:rsidRPr="004B228A">
        <w:rPr>
          <w:rFonts w:ascii="Times New Roman" w:eastAsia="Calibri" w:hAnsi="Times New Roman" w:cs="Times New Roman"/>
        </w:rPr>
        <w:t xml:space="preserve"> </w:t>
      </w:r>
      <w:r w:rsidR="0059516B" w:rsidRPr="004B228A">
        <w:rPr>
          <w:rFonts w:ascii="Times New Roman" w:eastAsia="Calibri" w:hAnsi="Times New Roman" w:cs="Times New Roman"/>
        </w:rPr>
        <w:t xml:space="preserve">Videonovērošanas </w:t>
      </w:r>
      <w:r w:rsidR="000577DD">
        <w:rPr>
          <w:rFonts w:ascii="Times New Roman" w:eastAsia="Calibri" w:hAnsi="Times New Roman" w:cs="Times New Roman"/>
        </w:rPr>
        <w:t>kameru</w:t>
      </w:r>
      <w:r w:rsidR="002A62A0">
        <w:rPr>
          <w:rFonts w:ascii="Times New Roman" w:eastAsia="Calibri" w:hAnsi="Times New Roman" w:cs="Times New Roman"/>
        </w:rPr>
        <w:t xml:space="preserve"> iegāde</w:t>
      </w:r>
      <w:r w:rsidR="00E74491">
        <w:rPr>
          <w:rFonts w:ascii="Times New Roman" w:eastAsia="Calibri" w:hAnsi="Times New Roman" w:cs="Times New Roman"/>
        </w:rPr>
        <w:t xml:space="preserve"> saskaņā ar Tehniskajā specifikācijā (1.pielikums) noteikto</w:t>
      </w:r>
      <w:r w:rsidRPr="004B228A">
        <w:rPr>
          <w:rFonts w:ascii="Times New Roman" w:hAnsi="Times New Roman" w:cs="Times New Roman"/>
        </w:rPr>
        <w:t>.</w:t>
      </w:r>
      <w:r w:rsidR="00720664" w:rsidRPr="004B228A">
        <w:rPr>
          <w:rFonts w:ascii="Times New Roman" w:hAnsi="Times New Roman" w:cs="Times New Roman"/>
        </w:rPr>
        <w:t xml:space="preserve"> </w:t>
      </w:r>
    </w:p>
    <w:p w14:paraId="6995240A" w14:textId="20E26CD1" w:rsidR="00E75D9B" w:rsidRPr="004B228A" w:rsidRDefault="00720664"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rPr>
        <w:t xml:space="preserve">Iepirkuma </w:t>
      </w:r>
      <w:r w:rsidR="00D520C1" w:rsidRPr="004B228A">
        <w:rPr>
          <w:rFonts w:ascii="Times New Roman" w:hAnsi="Times New Roman" w:cs="Times New Roman"/>
        </w:rPr>
        <w:t xml:space="preserve">priekšmets </w:t>
      </w:r>
      <w:r w:rsidR="00E74491">
        <w:rPr>
          <w:rFonts w:ascii="Times New Roman" w:hAnsi="Times New Roman" w:cs="Times New Roman"/>
        </w:rPr>
        <w:t>sadalīts divās komponentēs</w:t>
      </w:r>
      <w:r w:rsidR="004B228A" w:rsidRPr="004B228A">
        <w:rPr>
          <w:rFonts w:ascii="Times New Roman" w:hAnsi="Times New Roman" w:cs="Times New Roman"/>
        </w:rPr>
        <w:t xml:space="preserve"> (turpmāk – Preces)</w:t>
      </w:r>
      <w:r w:rsidR="00BC5481" w:rsidRPr="004B228A">
        <w:rPr>
          <w:rFonts w:ascii="Times New Roman" w:hAnsi="Times New Roman" w:cs="Times New Roman"/>
        </w:rPr>
        <w:t xml:space="preserve"> piegādi</w:t>
      </w:r>
      <w:r w:rsidRPr="004B228A">
        <w:rPr>
          <w:rFonts w:ascii="Times New Roman" w:hAnsi="Times New Roman" w:cs="Times New Roman"/>
        </w:rPr>
        <w:t>:</w:t>
      </w:r>
    </w:p>
    <w:p w14:paraId="2B1EA906" w14:textId="2AF60F1D" w:rsidR="00FF0070" w:rsidRPr="00E74491" w:rsidRDefault="00E74491" w:rsidP="000577DD">
      <w:pPr>
        <w:pStyle w:val="ListParagraph"/>
        <w:numPr>
          <w:ilvl w:val="2"/>
          <w:numId w:val="2"/>
        </w:numPr>
        <w:ind w:left="1560" w:hanging="567"/>
        <w:rPr>
          <w:rFonts w:ascii="Times New Roman" w:eastAsia="Calibri" w:hAnsi="Times New Roman" w:cs="Times New Roman"/>
        </w:rPr>
      </w:pPr>
      <w:r w:rsidRPr="00E74491">
        <w:rPr>
          <w:rFonts w:ascii="Times New Roman" w:eastAsia="Calibri" w:hAnsi="Times New Roman" w:cs="Times New Roman"/>
          <w:b/>
          <w:bCs/>
        </w:rPr>
        <w:t xml:space="preserve">1. komponente - </w:t>
      </w:r>
      <w:r w:rsidRPr="00E74491">
        <w:rPr>
          <w:rFonts w:ascii="Times New Roman" w:eastAsia="Calibri" w:hAnsi="Times New Roman" w:cs="Times New Roman"/>
        </w:rPr>
        <w:t>4 gab.</w:t>
      </w:r>
      <w:r>
        <w:rPr>
          <w:rFonts w:ascii="Times New Roman" w:eastAsia="Calibri" w:hAnsi="Times New Roman" w:cs="Times New Roman"/>
        </w:rPr>
        <w:t xml:space="preserve"> </w:t>
      </w:r>
      <w:r w:rsidRPr="00E74491">
        <w:rPr>
          <w:rFonts w:ascii="Times New Roman" w:eastAsia="Calibri" w:hAnsi="Times New Roman" w:cs="Times New Roman"/>
        </w:rPr>
        <w:t>PTZ (Pan-tilt-zoom) kameras</w:t>
      </w:r>
      <w:r>
        <w:rPr>
          <w:rFonts w:ascii="Times New Roman" w:eastAsia="Calibri" w:hAnsi="Times New Roman" w:cs="Times New Roman"/>
        </w:rPr>
        <w:t xml:space="preserve"> (</w:t>
      </w:r>
      <w:r w:rsidRPr="00E74491">
        <w:rPr>
          <w:rFonts w:ascii="Times New Roman" w:eastAsia="Calibri" w:hAnsi="Times New Roman" w:cs="Times New Roman"/>
        </w:rPr>
        <w:t>25x optical</w:t>
      </w:r>
      <w:r>
        <w:rPr>
          <w:rFonts w:ascii="Times New Roman" w:eastAsia="Calibri" w:hAnsi="Times New Roman" w:cs="Times New Roman"/>
        </w:rPr>
        <w:t>);</w:t>
      </w:r>
      <w:r w:rsidRPr="00E74491">
        <w:rPr>
          <w:rFonts w:ascii="Times New Roman" w:eastAsia="Calibri" w:hAnsi="Times New Roman" w:cs="Times New Roman"/>
        </w:rPr>
        <w:t xml:space="preserve"> </w:t>
      </w:r>
    </w:p>
    <w:p w14:paraId="798E80A8" w14:textId="5B78F319" w:rsidR="00E74491" w:rsidRPr="00E74491" w:rsidRDefault="00E74491" w:rsidP="000577DD">
      <w:pPr>
        <w:pStyle w:val="ListParagraph"/>
        <w:numPr>
          <w:ilvl w:val="2"/>
          <w:numId w:val="2"/>
        </w:numPr>
        <w:ind w:left="1560" w:hanging="567"/>
        <w:rPr>
          <w:rFonts w:ascii="Times New Roman" w:eastAsia="Calibri" w:hAnsi="Times New Roman" w:cs="Times New Roman"/>
        </w:rPr>
      </w:pPr>
      <w:r w:rsidRPr="00E74491">
        <w:rPr>
          <w:rFonts w:ascii="Times New Roman" w:eastAsia="Calibri" w:hAnsi="Times New Roman" w:cs="Times New Roman"/>
          <w:b/>
          <w:bCs/>
        </w:rPr>
        <w:t xml:space="preserve">2. komponente </w:t>
      </w:r>
      <w:r>
        <w:rPr>
          <w:rFonts w:ascii="Times New Roman" w:eastAsia="Calibri" w:hAnsi="Times New Roman" w:cs="Times New Roman"/>
          <w:b/>
          <w:bCs/>
        </w:rPr>
        <w:t>–</w:t>
      </w:r>
      <w:r w:rsidRPr="00E74491">
        <w:rPr>
          <w:rFonts w:ascii="Times New Roman" w:eastAsia="Calibri" w:hAnsi="Times New Roman" w:cs="Times New Roman"/>
          <w:b/>
          <w:bCs/>
        </w:rPr>
        <w:t xml:space="preserve"> </w:t>
      </w:r>
      <w:r w:rsidRPr="00E74491">
        <w:rPr>
          <w:rFonts w:ascii="Times New Roman" w:eastAsia="Calibri" w:hAnsi="Times New Roman" w:cs="Times New Roman"/>
        </w:rPr>
        <w:t>1 gab.</w:t>
      </w:r>
      <w:r>
        <w:rPr>
          <w:rFonts w:ascii="Times New Roman" w:eastAsia="Calibri" w:hAnsi="Times New Roman" w:cs="Times New Roman"/>
          <w:b/>
          <w:bCs/>
        </w:rPr>
        <w:t xml:space="preserve"> </w:t>
      </w:r>
      <w:r w:rsidRPr="00E74491">
        <w:rPr>
          <w:rFonts w:ascii="Times New Roman" w:eastAsia="Times New Roman" w:hAnsi="Times New Roman" w:cs="Times New Roman"/>
          <w:color w:val="000000"/>
        </w:rPr>
        <w:t>PTZ (</w:t>
      </w:r>
      <w:r w:rsidRPr="00E74491">
        <w:rPr>
          <w:rFonts w:ascii="Times New Roman" w:hAnsi="Times New Roman" w:cs="Times New Roman"/>
        </w:rPr>
        <w:t>Pan-tilt-zoom)</w:t>
      </w:r>
      <w:r w:rsidRPr="00E74491">
        <w:rPr>
          <w:rFonts w:ascii="Times New Roman" w:eastAsia="Times New Roman" w:hAnsi="Times New Roman" w:cs="Times New Roman"/>
          <w:color w:val="000000"/>
        </w:rPr>
        <w:t xml:space="preserve"> kameras</w:t>
      </w:r>
      <w:r>
        <w:rPr>
          <w:rFonts w:ascii="Times New Roman" w:eastAsia="Times New Roman" w:hAnsi="Times New Roman" w:cs="Times New Roman"/>
          <w:color w:val="000000"/>
        </w:rPr>
        <w:t xml:space="preserve"> (</w:t>
      </w:r>
      <w:r w:rsidRPr="005B7995">
        <w:rPr>
          <w:rFonts w:ascii="Times New Roman" w:eastAsia="Times New Roman" w:hAnsi="Times New Roman" w:cs="Times New Roman"/>
          <w:color w:val="000000"/>
        </w:rPr>
        <w:t>32x optical</w:t>
      </w:r>
      <w:r>
        <w:rPr>
          <w:rFonts w:ascii="Times New Roman" w:eastAsia="Times New Roman" w:hAnsi="Times New Roman" w:cs="Times New Roman"/>
          <w:color w:val="000000"/>
        </w:rPr>
        <w:t>).</w:t>
      </w:r>
    </w:p>
    <w:p w14:paraId="6F1E8248" w14:textId="52EF35CC" w:rsidR="0086033A" w:rsidRPr="004B228A" w:rsidRDefault="00E75D9B" w:rsidP="007F5067">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b/>
        </w:rPr>
        <w:t>CPV kods:</w:t>
      </w:r>
      <w:r w:rsidRPr="004B228A">
        <w:rPr>
          <w:rFonts w:ascii="Times New Roman" w:hAnsi="Times New Roman" w:cs="Times New Roman"/>
        </w:rPr>
        <w:t xml:space="preserve"> </w:t>
      </w:r>
      <w:r w:rsidR="00D520C1" w:rsidRPr="004B228A">
        <w:rPr>
          <w:rFonts w:ascii="Times New Roman" w:hAnsi="Times New Roman" w:cs="Times New Roman"/>
        </w:rPr>
        <w:t xml:space="preserve">32323500-8 </w:t>
      </w:r>
      <w:r w:rsidR="00720664" w:rsidRPr="004B228A">
        <w:rPr>
          <w:rFonts w:ascii="Times New Roman" w:hAnsi="Times New Roman" w:cs="Times New Roman"/>
        </w:rPr>
        <w:t>(</w:t>
      </w:r>
      <w:r w:rsidR="007F5067" w:rsidRPr="004B228A">
        <w:rPr>
          <w:rFonts w:ascii="Times New Roman" w:hAnsi="Times New Roman" w:cs="Times New Roman"/>
        </w:rPr>
        <w:t>Videonovērošanas sistēma</w:t>
      </w:r>
      <w:r w:rsidR="00720664" w:rsidRPr="004B228A">
        <w:rPr>
          <w:rFonts w:ascii="Times New Roman" w:hAnsi="Times New Roman" w:cs="Times New Roman"/>
        </w:rPr>
        <w:t>)</w:t>
      </w:r>
      <w:r w:rsidRPr="004B228A">
        <w:rPr>
          <w:rFonts w:ascii="Times New Roman" w:hAnsi="Times New Roman" w:cs="Times New Roman"/>
        </w:rPr>
        <w:t>.</w:t>
      </w:r>
    </w:p>
    <w:p w14:paraId="0078ED23" w14:textId="176C2611" w:rsidR="00E75D9B" w:rsidRPr="004B228A" w:rsidRDefault="00E75D9B"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Times New Roman" w:hAnsi="Times New Roman" w:cs="Times New Roman"/>
          <w:b/>
          <w:lang w:eastAsia="lv-LV"/>
        </w:rPr>
        <w:t>Iepirkuma līguma (turpmāk – Līgums) izpildes termiņš:</w:t>
      </w:r>
      <w:r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40</w:t>
      </w:r>
      <w:r w:rsidR="0077565E" w:rsidRPr="004B228A">
        <w:rPr>
          <w:rFonts w:ascii="Times New Roman" w:eastAsia="Times New Roman" w:hAnsi="Times New Roman" w:cs="Times New Roman"/>
          <w:lang w:eastAsia="lv-LV"/>
        </w:rPr>
        <w:t xml:space="preserve"> </w:t>
      </w:r>
      <w:r w:rsidR="00225AFB" w:rsidRPr="004B228A">
        <w:rPr>
          <w:rFonts w:ascii="Times New Roman" w:eastAsia="Times New Roman" w:hAnsi="Times New Roman" w:cs="Times New Roman"/>
          <w:lang w:eastAsia="lv-LV"/>
        </w:rPr>
        <w:t>(</w:t>
      </w:r>
      <w:r w:rsidR="0059516B" w:rsidRPr="004B228A">
        <w:rPr>
          <w:rFonts w:ascii="Times New Roman" w:eastAsia="Times New Roman" w:hAnsi="Times New Roman" w:cs="Times New Roman"/>
          <w:lang w:eastAsia="lv-LV"/>
        </w:rPr>
        <w:t>četrdesmit</w:t>
      </w:r>
      <w:r w:rsidR="0077565E" w:rsidRPr="004B228A">
        <w:rPr>
          <w:rFonts w:ascii="Times New Roman" w:eastAsia="Times New Roman" w:hAnsi="Times New Roman" w:cs="Times New Roman"/>
          <w:lang w:eastAsia="lv-LV"/>
        </w:rPr>
        <w:t>)</w:t>
      </w:r>
      <w:r w:rsidR="0086033A" w:rsidRPr="004B228A">
        <w:rPr>
          <w:rFonts w:ascii="Times New Roman" w:eastAsia="Times New Roman" w:hAnsi="Times New Roman" w:cs="Times New Roman"/>
          <w:lang w:eastAsia="lv-LV"/>
        </w:rPr>
        <w:t xml:space="preserve"> kalendār</w:t>
      </w:r>
      <w:r w:rsidR="00720664" w:rsidRPr="004B228A">
        <w:rPr>
          <w:rFonts w:ascii="Times New Roman" w:eastAsia="Times New Roman" w:hAnsi="Times New Roman" w:cs="Times New Roman"/>
          <w:lang w:eastAsia="lv-LV"/>
        </w:rPr>
        <w:t>ā</w:t>
      </w:r>
      <w:r w:rsidR="00381322">
        <w:rPr>
          <w:rFonts w:ascii="Times New Roman" w:eastAsia="Times New Roman" w:hAnsi="Times New Roman" w:cs="Times New Roman"/>
          <w:lang w:eastAsia="lv-LV"/>
        </w:rPr>
        <w:t>s</w:t>
      </w:r>
      <w:r w:rsidR="00720664"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dienas</w:t>
      </w:r>
      <w:r w:rsidR="0077565E" w:rsidRPr="004B228A">
        <w:rPr>
          <w:rFonts w:ascii="Times New Roman" w:eastAsia="Times New Roman" w:hAnsi="Times New Roman" w:cs="Times New Roman"/>
          <w:lang w:eastAsia="lv-LV"/>
        </w:rPr>
        <w:t xml:space="preserve"> </w:t>
      </w:r>
      <w:r w:rsidR="0086033A" w:rsidRPr="004B228A">
        <w:rPr>
          <w:rFonts w:ascii="Times New Roman" w:eastAsia="Times New Roman" w:hAnsi="Times New Roman" w:cs="Times New Roman"/>
          <w:lang w:eastAsia="lv-LV"/>
        </w:rPr>
        <w:t xml:space="preserve">no Līguma noslēgšanas brīža. </w:t>
      </w:r>
    </w:p>
    <w:p w14:paraId="3A2DF743" w14:textId="0227F869" w:rsidR="0086033A" w:rsidRPr="000F478E" w:rsidRDefault="00A114B5"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Calibri" w:hAnsi="Times New Roman" w:cs="Times New Roman"/>
        </w:rPr>
        <w:t>Iepirkuma priekšmets nav sadalīts daļās. Pretendentam piedāvājums jāsagatavo par visu iepirkuma priekšmetu kopumu vienā variantā.</w:t>
      </w:r>
    </w:p>
    <w:p w14:paraId="477C0FFA" w14:textId="28C23E68" w:rsidR="000F478E" w:rsidRPr="000F478E" w:rsidRDefault="000F478E" w:rsidP="00D63446">
      <w:pPr>
        <w:pStyle w:val="ListParagraph"/>
        <w:numPr>
          <w:ilvl w:val="1"/>
          <w:numId w:val="2"/>
        </w:numPr>
        <w:spacing w:after="0"/>
        <w:ind w:left="993" w:hanging="633"/>
        <w:jc w:val="both"/>
        <w:rPr>
          <w:rFonts w:ascii="Times New Roman" w:hAnsi="Times New Roman" w:cs="Times New Roman"/>
          <w:b/>
        </w:rPr>
      </w:pPr>
      <w:r w:rsidRPr="000F478E">
        <w:rPr>
          <w:rFonts w:ascii="Times New Roman" w:eastAsia="Calibri" w:hAnsi="Times New Roman" w:cs="Times New Roman"/>
          <w:b/>
        </w:rPr>
        <w:t>Avanss netiek paredzēts.</w:t>
      </w:r>
    </w:p>
    <w:p w14:paraId="10738AE1" w14:textId="108A402F" w:rsidR="00E75D9B" w:rsidRPr="00953A15" w:rsidRDefault="00E75D9B" w:rsidP="00D63446">
      <w:pPr>
        <w:pStyle w:val="Heading1"/>
        <w:numPr>
          <w:ilvl w:val="0"/>
          <w:numId w:val="4"/>
        </w:numPr>
      </w:pPr>
      <w:bookmarkStart w:id="2" w:name="_Toc83216219"/>
      <w:r w:rsidRPr="00953A15">
        <w:lastRenderedPageBreak/>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B228A"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Iepirkuma procedūras dokumentu (turpmāk – Iepirkuma dokumenti) sastāvā ietilpst šīs Iepirkuma procedūras nolikums (turpmāk – Nolikums) ar pielikumiem un EIS tīmekļa vietnē </w:t>
      </w:r>
      <w:hyperlink r:id="rId11" w:history="1">
        <w:r w:rsidRPr="004B228A">
          <w:rPr>
            <w:rFonts w:ascii="Times New Roman" w:eastAsia="Times New Roman" w:hAnsi="Times New Roman" w:cs="Times New Roman"/>
            <w:color w:val="0000FF"/>
            <w:u w:val="single"/>
          </w:rPr>
          <w:t>www.eis.gov.lv</w:t>
        </w:r>
      </w:hyperlink>
      <w:r w:rsidRPr="004B228A">
        <w:rPr>
          <w:rFonts w:ascii="Times New Roman" w:eastAsia="Times New Roman" w:hAnsi="Times New Roman" w:cs="Times New Roman"/>
        </w:rPr>
        <w:t>, e-konkursu apakšsistēmā šī atklātā iepirkuma sadaļā publicētās datnes, kuri ir tā neatņemama sastāvdaļa:</w:t>
      </w:r>
    </w:p>
    <w:p w14:paraId="2C54461B" w14:textId="5A1B4ECC" w:rsidR="009C490F" w:rsidRPr="007902FA" w:rsidRDefault="009C490F" w:rsidP="00D63446">
      <w:pPr>
        <w:numPr>
          <w:ilvl w:val="2"/>
          <w:numId w:val="5"/>
        </w:numPr>
        <w:spacing w:before="120" w:after="120" w:line="240" w:lineRule="auto"/>
        <w:ind w:left="1571"/>
        <w:jc w:val="both"/>
        <w:rPr>
          <w:rFonts w:ascii="Times New Roman" w:eastAsia="Times New Roman" w:hAnsi="Times New Roman" w:cs="Times New Roman"/>
        </w:rPr>
      </w:pPr>
      <w:r w:rsidRPr="007902FA">
        <w:rPr>
          <w:rFonts w:ascii="Times New Roman" w:eastAsia="Times New Roman" w:hAnsi="Times New Roman" w:cs="Times New Roman"/>
        </w:rPr>
        <w:t>Tehniskā specifikācijā (1.pielikums);</w:t>
      </w:r>
    </w:p>
    <w:p w14:paraId="326FFE67" w14:textId="08018062" w:rsidR="00E75D9B"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Pretendenta pieteikums (</w:t>
      </w:r>
      <w:r w:rsidR="009C490F">
        <w:rPr>
          <w:rFonts w:ascii="Times New Roman" w:eastAsia="Times New Roman" w:hAnsi="Times New Roman" w:cs="Times New Roman"/>
        </w:rPr>
        <w:t>2</w:t>
      </w:r>
      <w:r w:rsidRPr="004B228A">
        <w:rPr>
          <w:rFonts w:ascii="Times New Roman" w:eastAsia="Times New Roman" w:hAnsi="Times New Roman" w:cs="Times New Roman"/>
        </w:rPr>
        <w:t>.pielikums);</w:t>
      </w:r>
    </w:p>
    <w:p w14:paraId="66E1C536" w14:textId="66F563DF" w:rsidR="00091F76"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Apakšuzņēmēju saraksts un apakšuzņēmēju apliecinājums (</w:t>
      </w:r>
      <w:r w:rsidR="009C490F">
        <w:rPr>
          <w:rFonts w:ascii="Times New Roman" w:eastAsia="Times New Roman" w:hAnsi="Times New Roman" w:cs="Times New Roman"/>
        </w:rPr>
        <w:t>3</w:t>
      </w:r>
      <w:r w:rsidRPr="004B228A">
        <w:rPr>
          <w:rFonts w:ascii="Times New Roman" w:eastAsia="Times New Roman" w:hAnsi="Times New Roman" w:cs="Times New Roman"/>
        </w:rPr>
        <w:t>.pielikums)</w:t>
      </w:r>
      <w:r w:rsidR="0077565E" w:rsidRPr="004B228A">
        <w:rPr>
          <w:rFonts w:ascii="Times New Roman" w:eastAsia="Times New Roman" w:hAnsi="Times New Roman" w:cs="Times New Roman"/>
        </w:rPr>
        <w:t>.</w:t>
      </w:r>
    </w:p>
    <w:p w14:paraId="6E684071" w14:textId="4F42838D"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Ar</w:t>
      </w:r>
      <w:r w:rsidRPr="004B228A">
        <w:rPr>
          <w:rFonts w:ascii="Times New Roman" w:eastAsia="Times New Roman" w:hAnsi="Times New Roman" w:cs="Times New Roman"/>
          <w:color w:val="000000"/>
        </w:rPr>
        <w:t xml:space="preserve"> </w:t>
      </w:r>
      <w:r w:rsidRPr="004B228A">
        <w:rPr>
          <w:rFonts w:ascii="Times New Roman" w:eastAsia="Times New Roman" w:hAnsi="Times New Roman" w:cs="Times New Roman"/>
        </w:rPr>
        <w:t>Iepirkuma</w:t>
      </w:r>
      <w:r w:rsidRPr="004B228A">
        <w:rPr>
          <w:rFonts w:ascii="Times New Roman" w:eastAsia="Times New Roman" w:hAnsi="Times New Roman" w:cs="Times New Roman"/>
          <w:color w:val="000000"/>
        </w:rPr>
        <w:t xml:space="preserve"> dokumentiem Ieinteresētais piegādātājs var iepazīties un saņemt tos elektroniski bez maksas Ventspils brīvostas pārvaldes mājas lapā internetā </w:t>
      </w:r>
      <w:hyperlink r:id="rId12" w:history="1">
        <w:r w:rsidRPr="004B228A">
          <w:rPr>
            <w:rFonts w:ascii="Times New Roman" w:eastAsia="Times New Roman" w:hAnsi="Times New Roman" w:cs="Times New Roman"/>
            <w:color w:val="0000FF"/>
            <w:u w:val="single"/>
          </w:rPr>
          <w:t>http://www.portofventspils.lv/lv/publiskie-iepirkumi</w:t>
        </w:r>
      </w:hyperlink>
      <w:r w:rsidRPr="004B228A">
        <w:rPr>
          <w:rFonts w:ascii="Times New Roman" w:eastAsia="Times New Roman" w:hAnsi="Times New Roman" w:cs="Times New Roman"/>
          <w:color w:val="0000FF"/>
          <w:u w:val="single"/>
        </w:rPr>
        <w:t xml:space="preserve"> un </w:t>
      </w:r>
      <w:r w:rsidRPr="004B228A">
        <w:rPr>
          <w:rFonts w:ascii="Times New Roman" w:eastAsia="Times New Roman" w:hAnsi="Times New Roman" w:cs="Times New Roman"/>
        </w:rPr>
        <w:t xml:space="preserve">EIS pircēja profilā </w:t>
      </w:r>
      <w:hyperlink r:id="rId13" w:history="1">
        <w:r w:rsidRPr="004B228A">
          <w:rPr>
            <w:rFonts w:ascii="Times New Roman" w:eastAsia="Times New Roman" w:hAnsi="Times New Roman" w:cs="Times New Roman"/>
            <w:color w:val="0000FF"/>
            <w:u w:val="single"/>
          </w:rPr>
          <w:t>https://www.eis.gov.lv/EKEIS/Supplier/Organizer/3167</w:t>
        </w:r>
      </w:hyperlink>
      <w:r w:rsidRPr="004B228A">
        <w:rPr>
          <w:rFonts w:ascii="Times New Roman" w:eastAsia="Times New Roman" w:hAnsi="Times New Roman" w:cs="Times New Roman"/>
        </w:rPr>
        <w:t>, kā arī iepazīties ar Iepirkuma dokumentiem drukātā veidā bez</w:t>
      </w:r>
      <w:r w:rsidRPr="004B228A">
        <w:rPr>
          <w:rFonts w:ascii="Times New Roman" w:eastAsia="Times New Roman" w:hAnsi="Times New Roman" w:cs="Times New Roman"/>
          <w:color w:val="000000"/>
        </w:rPr>
        <w:t xml:space="preserve"> maksas Ventspils brīvostas pārvaldē Jāņa ielā 19, Ventspilī, 202.kabinetā </w:t>
      </w:r>
      <w:r w:rsidRPr="004B228A">
        <w:rPr>
          <w:rFonts w:ascii="Times New Roman" w:eastAsia="Times New Roman" w:hAnsi="Times New Roman" w:cs="Times New Roman"/>
          <w:b/>
          <w:color w:val="000000"/>
        </w:rPr>
        <w:t xml:space="preserve">līdz </w:t>
      </w:r>
      <w:r w:rsidRPr="004B228A">
        <w:rPr>
          <w:rFonts w:ascii="Times New Roman" w:eastAsia="Times New Roman" w:hAnsi="Times New Roman" w:cs="Times New Roman"/>
          <w:b/>
          <w:bCs/>
          <w:color w:val="000000"/>
        </w:rPr>
        <w:t xml:space="preserve">2021.gada </w:t>
      </w:r>
      <w:r w:rsidR="005358AA">
        <w:rPr>
          <w:rFonts w:ascii="Times New Roman" w:eastAsia="Times New Roman" w:hAnsi="Times New Roman" w:cs="Times New Roman"/>
          <w:b/>
          <w:bCs/>
          <w:color w:val="000000"/>
        </w:rPr>
        <w:t>11.novembrim</w:t>
      </w:r>
      <w:r w:rsidR="0077565E" w:rsidRPr="004B228A">
        <w:rPr>
          <w:rFonts w:ascii="Times New Roman" w:eastAsia="Times New Roman" w:hAnsi="Times New Roman" w:cs="Times New Roman"/>
          <w:b/>
          <w:bCs/>
          <w:color w:val="000000"/>
        </w:rPr>
        <w:t xml:space="preserve"> </w:t>
      </w:r>
      <w:r w:rsidRPr="004B228A">
        <w:rPr>
          <w:rFonts w:ascii="Times New Roman" w:eastAsia="Times New Roman" w:hAnsi="Times New Roman" w:cs="Times New Roman"/>
          <w:b/>
          <w:color w:val="000000"/>
        </w:rPr>
        <w:t>plkst.1</w:t>
      </w:r>
      <w:r w:rsidR="00B539FE" w:rsidRPr="004B228A">
        <w:rPr>
          <w:rFonts w:ascii="Times New Roman" w:eastAsia="Times New Roman" w:hAnsi="Times New Roman" w:cs="Times New Roman"/>
          <w:b/>
          <w:color w:val="000000"/>
        </w:rPr>
        <w:t>0</w:t>
      </w:r>
      <w:r w:rsidRPr="004B228A">
        <w:rPr>
          <w:rFonts w:ascii="Times New Roman" w:eastAsia="Times New Roman" w:hAnsi="Times New Roman" w:cs="Times New Roman"/>
          <w:b/>
          <w:color w:val="000000"/>
          <w:vertAlign w:val="superscript"/>
        </w:rPr>
        <w:t>00</w:t>
      </w:r>
      <w:r w:rsidRPr="004B228A">
        <w:rPr>
          <w:rFonts w:ascii="Times New Roman" w:eastAsia="Times New Roman" w:hAnsi="Times New Roman" w:cs="Times New Roman"/>
          <w:color w:val="000000"/>
        </w:rPr>
        <w:t>, darba dienās no plkst. 8</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12</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un no 13</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17</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piektdienās līdz plkst.16</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iepriekš vienojoties ar Pasūtītāja kontaktpersonu (tālr. 636 02313) par apmeklējuma laiku.</w:t>
      </w:r>
    </w:p>
    <w:p w14:paraId="307D1AA6"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Pasūtītājs nepieciešamības gadījumā ir tiesīgs veikt grozījumus Iepirkuma dokumentos.</w:t>
      </w:r>
    </w:p>
    <w:p w14:paraId="4A7425D9"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Cs/>
        </w:rPr>
      </w:pPr>
      <w:r w:rsidRPr="004B228A">
        <w:rPr>
          <w:rFonts w:ascii="Times New Roman" w:eastAsia="Times New Roman" w:hAnsi="Times New Roman" w:cs="Times New Roman"/>
          <w:bCs/>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4B228A">
          <w:rPr>
            <w:rStyle w:val="Hyperlink"/>
            <w:rFonts w:ascii="Times New Roman" w:eastAsia="Times New Roman" w:hAnsi="Times New Roman" w:cs="Times New Roman"/>
            <w:bCs/>
          </w:rPr>
          <w:t>https://www.eis.gov.lv/EKEIS/Supplier/Organizer/3167</w:t>
        </w:r>
      </w:hyperlink>
      <w:r w:rsidRPr="004B228A">
        <w:rPr>
          <w:rFonts w:ascii="Times New Roman" w:eastAsia="Times New Roman" w:hAnsi="Times New Roman" w:cs="Times New Roman"/>
          <w:bCs/>
        </w:rPr>
        <w:t xml:space="preserve"> e-konkursu apakšsistēmā šī atklātā iepirkuma sadaļā.</w:t>
      </w:r>
    </w:p>
    <w:p w14:paraId="64DCE3F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Pasūtītāja sniegtā papildus informācija un grozījumi Iepirkuma dokumentos (ja tādi tiks veikti) ir Iepirkuma dokumentu neatņemama sastāvdaļa, un tā ir saistoša piegādātājam.</w:t>
      </w:r>
    </w:p>
    <w:p w14:paraId="1663AF4B" w14:textId="5986370B"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 xml:space="preserve">Pretendenta piedāvājumam jābūt spēkā un saistošam tā iesniedzējam ne mazāk kā </w:t>
      </w:r>
      <w:r w:rsidR="003C317E">
        <w:rPr>
          <w:rFonts w:ascii="Times New Roman" w:eastAsia="Times New Roman" w:hAnsi="Times New Roman" w:cs="Times New Roman"/>
          <w:b/>
        </w:rPr>
        <w:t>1</w:t>
      </w:r>
      <w:r w:rsidRPr="004B228A">
        <w:rPr>
          <w:rFonts w:ascii="Times New Roman" w:eastAsia="Times New Roman" w:hAnsi="Times New Roman" w:cs="Times New Roman"/>
          <w:b/>
        </w:rPr>
        <w:t xml:space="preserve"> (</w:t>
      </w:r>
      <w:r w:rsidR="003C317E">
        <w:rPr>
          <w:rFonts w:ascii="Times New Roman" w:eastAsia="Times New Roman" w:hAnsi="Times New Roman" w:cs="Times New Roman"/>
          <w:b/>
        </w:rPr>
        <w:t>vienu</w:t>
      </w:r>
      <w:r w:rsidR="008C714C" w:rsidRPr="004B228A">
        <w:rPr>
          <w:rFonts w:ascii="Times New Roman" w:eastAsia="Times New Roman" w:hAnsi="Times New Roman" w:cs="Times New Roman"/>
          <w:b/>
        </w:rPr>
        <w:t>) kalendār</w:t>
      </w:r>
      <w:r w:rsidR="007F5067" w:rsidRPr="004B228A">
        <w:rPr>
          <w:rFonts w:ascii="Times New Roman" w:eastAsia="Times New Roman" w:hAnsi="Times New Roman" w:cs="Times New Roman"/>
          <w:b/>
        </w:rPr>
        <w:t>o</w:t>
      </w:r>
      <w:r w:rsidRPr="004B228A">
        <w:rPr>
          <w:rFonts w:ascii="Times New Roman" w:eastAsia="Times New Roman" w:hAnsi="Times New Roman" w:cs="Times New Roman"/>
          <w:b/>
        </w:rPr>
        <w:t xml:space="preserve"> mēne</w:t>
      </w:r>
      <w:r w:rsidR="003C317E">
        <w:rPr>
          <w:rFonts w:ascii="Times New Roman" w:eastAsia="Times New Roman" w:hAnsi="Times New Roman" w:cs="Times New Roman"/>
          <w:b/>
        </w:rPr>
        <w:t>si</w:t>
      </w:r>
      <w:r w:rsidRPr="004B228A">
        <w:rPr>
          <w:rFonts w:ascii="Times New Roman" w:eastAsia="Times New Roman" w:hAnsi="Times New Roman" w:cs="Times New Roman"/>
        </w:rPr>
        <w:t xml:space="preserve"> pēc piedāvājumu iesniegšanas termiņa beigām, bet ne ilgāk kā līdz iepirkuma līguma noslēgšanai.</w:t>
      </w:r>
    </w:p>
    <w:p w14:paraId="094890E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3" w:name="_Toc83216220"/>
      <w:bookmarkStart w:id="4" w:name="_Toc380415501"/>
      <w:r w:rsidRPr="00953A15">
        <w:t>DALĪBAS NOSACĪJUMI IEPIRKUMA PROCEDŪRĀ</w:t>
      </w:r>
      <w:bookmarkEnd w:id="3"/>
    </w:p>
    <w:p w14:paraId="1BBB58AE" w14:textId="77777777" w:rsidR="00E75D9B" w:rsidRPr="004B228A" w:rsidRDefault="00E75D9B" w:rsidP="00D63446">
      <w:pPr>
        <w:pStyle w:val="ListParagraph"/>
        <w:numPr>
          <w:ilvl w:val="1"/>
          <w:numId w:val="5"/>
        </w:numPr>
        <w:spacing w:after="0" w:line="240" w:lineRule="auto"/>
        <w:ind w:left="851" w:hanging="500"/>
        <w:jc w:val="both"/>
        <w:rPr>
          <w:rFonts w:ascii="Times New Roman" w:hAnsi="Times New Roman" w:cs="Times New Roman"/>
        </w:rPr>
      </w:pPr>
      <w:r w:rsidRPr="004B228A">
        <w:rPr>
          <w:rFonts w:ascii="Times New Roman" w:hAnsi="Times New Roman" w:cs="Times New Roman"/>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B228A">
        <w:rPr>
          <w:rStyle w:val="apple-converted-space"/>
          <w:sz w:val="22"/>
          <w:szCs w:val="22"/>
        </w:rPr>
        <w:t> </w:t>
      </w:r>
      <w:r w:rsidRPr="004B228A">
        <w:rPr>
          <w:i/>
          <w:iCs/>
          <w:sz w:val="22"/>
          <w:szCs w:val="22"/>
        </w:rPr>
        <w:t>euro</w:t>
      </w:r>
      <w:r w:rsidRPr="004B228A">
        <w:rPr>
          <w:sz w:val="22"/>
          <w:szCs w:val="22"/>
        </w:rPr>
        <w:t>;</w:t>
      </w:r>
    </w:p>
    <w:p w14:paraId="784F507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nav pasludināts Pretendenta maksātnespējas process, apturēta Pretendenta saimnieciskā darbība un netiek veikta pretendenta likvidācija;</w:t>
      </w:r>
    </w:p>
    <w:p w14:paraId="15CFF520"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lastRenderedPageBreak/>
        <w:t>Pretendents iesniedzis visu pieprasīto informāciju un iesniegtā informācija, lai apliecinātu Pretendenta atbilstību kvalifikācijas prasībām, ir patiesa.</w:t>
      </w:r>
    </w:p>
    <w:p w14:paraId="65FB9022"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hAnsi="Times New Roman" w:cs="Times New Roman"/>
        </w:rPr>
      </w:pPr>
      <w:r w:rsidRPr="004B228A">
        <w:rPr>
          <w:rFonts w:ascii="Times New Roman" w:hAnsi="Times New Roman" w:cs="Times New Roman"/>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5" w:name="_Toc83216221"/>
      <w:r w:rsidRPr="00953A15">
        <w:t>IESNIEDZAMIE DOKUMENTI:</w:t>
      </w:r>
      <w:bookmarkEnd w:id="5"/>
    </w:p>
    <w:p w14:paraId="5F641793" w14:textId="77777777" w:rsidR="00E75D9B" w:rsidRPr="004B228A" w:rsidRDefault="00E75D9B" w:rsidP="00D63446">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Piedāvājumā iekļaujamas šādas piedāvājuma dokumentu sadaļas:</w:t>
      </w:r>
    </w:p>
    <w:p w14:paraId="1DE942C3"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Pretendentu atlases dokumenti;</w:t>
      </w:r>
    </w:p>
    <w:p w14:paraId="18B2FCF2"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D63446">
      <w:pPr>
        <w:pStyle w:val="Heading1"/>
        <w:numPr>
          <w:ilvl w:val="0"/>
          <w:numId w:val="7"/>
        </w:numPr>
      </w:pPr>
      <w:bookmarkStart w:id="6" w:name="_Toc83216222"/>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4B228A" w:rsidRDefault="008B3EC1" w:rsidP="00D63446">
            <w:pPr>
              <w:pStyle w:val="ListParagraph"/>
              <w:numPr>
                <w:ilvl w:val="2"/>
                <w:numId w:val="8"/>
              </w:numPr>
              <w:ind w:left="0" w:firstLine="0"/>
              <w:jc w:val="both"/>
              <w:rPr>
                <w:rFonts w:ascii="Times New Roman" w:hAnsi="Times New Roman" w:cs="Times New Roman"/>
                <w:lang w:eastAsia="lv-LV"/>
              </w:rPr>
            </w:pPr>
            <w:r w:rsidRPr="004B228A">
              <w:rPr>
                <w:rFonts w:ascii="Times New Roman" w:hAnsi="Times New Roman" w:cs="Times New Roman"/>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4B228A" w:rsidRDefault="008B3EC1" w:rsidP="00D63446">
            <w:pPr>
              <w:pStyle w:val="BlockText"/>
              <w:numPr>
                <w:ilvl w:val="2"/>
                <w:numId w:val="6"/>
              </w:numPr>
              <w:ind w:left="0" w:right="-57" w:firstLine="0"/>
              <w:jc w:val="center"/>
              <w:rPr>
                <w:rFonts w:eastAsia="Calibri"/>
                <w:b/>
                <w:bCs/>
                <w:i/>
                <w:iCs/>
                <w:sz w:val="22"/>
                <w:szCs w:val="22"/>
              </w:rPr>
            </w:pPr>
          </w:p>
          <w:p w14:paraId="07A20C50" w14:textId="77777777" w:rsidR="008B3EC1" w:rsidRPr="004B228A" w:rsidRDefault="00706841" w:rsidP="00726D03">
            <w:pPr>
              <w:pStyle w:val="BlockText"/>
              <w:spacing w:after="120"/>
              <w:ind w:left="-58" w:right="-57"/>
              <w:jc w:val="both"/>
              <w:rPr>
                <w:rFonts w:eastAsia="Calibri"/>
                <w:bCs/>
                <w:sz w:val="22"/>
                <w:szCs w:val="22"/>
              </w:rPr>
            </w:pPr>
            <w:r>
              <w:rPr>
                <w:sz w:val="22"/>
                <w:szCs w:val="22"/>
              </w:rPr>
              <w:pict w14:anchorId="2CB10CC5">
                <v:rect id="_x0000_i1025" style="width:0;height:1.5pt" o:hralign="center" o:hrstd="t" o:hr="t" fillcolor="#a0a0a0" stroked="f"/>
              </w:pict>
            </w:r>
          </w:p>
          <w:p w14:paraId="6EBF19CC" w14:textId="77777777" w:rsidR="008B3EC1" w:rsidRPr="004B228A" w:rsidRDefault="008B3EC1" w:rsidP="00D63446">
            <w:pPr>
              <w:pStyle w:val="BlockText"/>
              <w:numPr>
                <w:ilvl w:val="3"/>
                <w:numId w:val="6"/>
              </w:numPr>
              <w:spacing w:after="120"/>
              <w:ind w:left="-58" w:right="-57" w:firstLine="0"/>
              <w:jc w:val="both"/>
              <w:rPr>
                <w:rFonts w:eastAsia="Calibri"/>
                <w:bCs/>
                <w:sz w:val="22"/>
                <w:szCs w:val="22"/>
              </w:rPr>
            </w:pPr>
            <w:r w:rsidRPr="004B228A">
              <w:rPr>
                <w:rFonts w:eastAsia="Calibri"/>
                <w:b/>
                <w:bCs/>
                <w:sz w:val="22"/>
                <w:szCs w:val="22"/>
              </w:rPr>
              <w:t>Apliecinājums</w:t>
            </w:r>
            <w:r w:rsidRPr="004B228A">
              <w:rPr>
                <w:rFonts w:eastAsia="Calibri"/>
                <w:bCs/>
                <w:sz w:val="22"/>
                <w:szCs w:val="22"/>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4B228A">
              <w:rPr>
                <w:rFonts w:eastAsia="Calibri"/>
                <w:bCs/>
                <w:i/>
                <w:iCs/>
                <w:sz w:val="22"/>
                <w:szCs w:val="22"/>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4B228A" w:rsidRDefault="008B3EC1" w:rsidP="00D63446">
            <w:pPr>
              <w:pStyle w:val="BlockText"/>
              <w:numPr>
                <w:ilvl w:val="3"/>
                <w:numId w:val="6"/>
              </w:numPr>
              <w:spacing w:after="120"/>
              <w:ind w:left="0" w:right="-57" w:hanging="58"/>
              <w:jc w:val="both"/>
              <w:rPr>
                <w:rFonts w:eastAsia="Calibri"/>
                <w:bCs/>
                <w:i/>
                <w:iCs/>
                <w:sz w:val="22"/>
                <w:szCs w:val="22"/>
              </w:rPr>
            </w:pPr>
            <w:r w:rsidRPr="004B228A">
              <w:rPr>
                <w:rFonts w:eastAsia="Calibri"/>
                <w:b/>
                <w:sz w:val="22"/>
                <w:szCs w:val="22"/>
              </w:rPr>
              <w:t>Apliecinājums,</w:t>
            </w:r>
            <w:r w:rsidRPr="004B228A">
              <w:rPr>
                <w:rFonts w:eastAsia="Calibri"/>
                <w:bCs/>
                <w:sz w:val="22"/>
                <w:szCs w:val="22"/>
              </w:rPr>
              <w:t xml:space="preserve"> ka Pretenden</w:t>
            </w:r>
            <w:r w:rsidR="002B1D96" w:rsidRPr="004B228A">
              <w:rPr>
                <w:rFonts w:eastAsia="Calibri"/>
                <w:bCs/>
                <w:sz w:val="22"/>
                <w:szCs w:val="22"/>
              </w:rPr>
              <w:t>ta norādītie apakšuzņēmēji, kuru</w:t>
            </w:r>
            <w:r w:rsidRPr="004B228A">
              <w:rPr>
                <w:rFonts w:eastAsia="Calibri"/>
                <w:bCs/>
                <w:sz w:val="22"/>
                <w:szCs w:val="22"/>
              </w:rPr>
              <w:t xml:space="preserve"> sniedzamo pakalpojumu vērtība ir vismaz 10 (desmit) procenti no kopējās līguma vērtības, atbilst visām šī nolikuma 4.1.punkta apakšpunktos minētajām dalības nosacījumu prasībām </w:t>
            </w:r>
            <w:r w:rsidRPr="004B228A">
              <w:rPr>
                <w:rFonts w:eastAsia="Calibri"/>
                <w:bCs/>
                <w:i/>
                <w:sz w:val="22"/>
                <w:szCs w:val="22"/>
              </w:rPr>
              <w:t>(ja attiecināms)</w:t>
            </w:r>
            <w:r w:rsidRPr="004B228A">
              <w:rPr>
                <w:rFonts w:eastAsia="Calibri"/>
                <w:bCs/>
                <w:sz w:val="22"/>
                <w:szCs w:val="22"/>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4B228A" w:rsidRDefault="008B3EC1" w:rsidP="00D63446">
            <w:pPr>
              <w:pStyle w:val="BlockText"/>
              <w:numPr>
                <w:ilvl w:val="3"/>
                <w:numId w:val="6"/>
              </w:numPr>
              <w:tabs>
                <w:tab w:val="left" w:pos="792"/>
              </w:tabs>
              <w:spacing w:after="120"/>
              <w:ind w:left="0" w:right="-57" w:firstLine="0"/>
              <w:jc w:val="both"/>
              <w:rPr>
                <w:rFonts w:eastAsia="Calibri"/>
                <w:b/>
                <w:sz w:val="22"/>
                <w:szCs w:val="22"/>
              </w:rPr>
            </w:pPr>
            <w:r w:rsidRPr="004B228A">
              <w:rPr>
                <w:rFonts w:eastAsia="Calibri"/>
                <w:b/>
                <w:bCs/>
                <w:sz w:val="22"/>
                <w:szCs w:val="22"/>
              </w:rPr>
              <w:t>Personu apvienības katra dalībnieka (biedra) apliecinājums</w:t>
            </w:r>
            <w:r w:rsidRPr="004B228A">
              <w:rPr>
                <w:rFonts w:eastAsia="Calibri"/>
                <w:bCs/>
                <w:sz w:val="22"/>
                <w:szCs w:val="22"/>
              </w:rPr>
              <w:t xml:space="preserve"> (ja piedāvājumu iesniedz personu apvienība), ka tie atbilst šī nolikuma 4.1.punkta apakšpunktos minētajām dalības nosacījumu prasībām </w:t>
            </w:r>
            <w:r w:rsidRPr="004B228A">
              <w:rPr>
                <w:rFonts w:eastAsia="Calibri"/>
                <w:bCs/>
                <w:i/>
                <w:sz w:val="22"/>
                <w:szCs w:val="22"/>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lastRenderedPageBreak/>
              <w:t>Līdz iepirkuma līguma noslēgšanai Pretendentam jābūt reģistrētam Latvijas Republikas Komercreģistrā vai ārvalstīs attiecīgās valsts normatīvajos aktos paredzētajā kārtībā.</w:t>
            </w:r>
            <w:r w:rsidRPr="004B228A">
              <w:rPr>
                <w:rFonts w:ascii="Times New Roman" w:hAnsi="Times New Roman" w:cs="Times New Roman"/>
              </w:rPr>
              <w:t xml:space="preserve"> </w:t>
            </w:r>
            <w:r w:rsidRPr="004B228A">
              <w:rPr>
                <w:rFonts w:ascii="Times New Roman" w:eastAsia="Times New Roman" w:hAnsi="Times New Roman" w:cs="Times New Roman"/>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4B228A" w:rsidRDefault="008B3EC1" w:rsidP="00D63446">
            <w:pPr>
              <w:pStyle w:val="ListParagraph"/>
              <w:numPr>
                <w:ilvl w:val="2"/>
                <w:numId w:val="6"/>
              </w:numPr>
              <w:ind w:left="0" w:firstLine="0"/>
              <w:jc w:val="center"/>
              <w:rPr>
                <w:rFonts w:ascii="Times New Roman" w:hAnsi="Times New Roman" w:cs="Times New Roman"/>
              </w:rPr>
            </w:pPr>
          </w:p>
          <w:p w14:paraId="6CB6BD31" w14:textId="77777777" w:rsidR="008B3EC1" w:rsidRPr="004B228A" w:rsidRDefault="00706841" w:rsidP="00726D03">
            <w:pPr>
              <w:pStyle w:val="ListParagraph"/>
              <w:tabs>
                <w:tab w:val="left" w:pos="792"/>
              </w:tabs>
              <w:ind w:left="0"/>
              <w:jc w:val="both"/>
              <w:rPr>
                <w:rFonts w:ascii="Times New Roman" w:hAnsi="Times New Roman" w:cs="Times New Roman"/>
              </w:rPr>
            </w:pPr>
            <w:r>
              <w:rPr>
                <w:rFonts w:ascii="Times New Roman" w:hAnsi="Times New Roman" w:cs="Times New Roman"/>
              </w:rPr>
              <w:pict w14:anchorId="1F43AA40">
                <v:rect id="_x0000_i1026" style="width:0;height:1.5pt" o:hralign="center" o:hrstd="t" o:hr="t" fillcolor="#a0a0a0" stroked="f"/>
              </w:pict>
            </w:r>
          </w:p>
          <w:p w14:paraId="3984F0D2" w14:textId="77777777" w:rsidR="008B3EC1" w:rsidRPr="004B228A" w:rsidRDefault="008B3EC1" w:rsidP="00D63446">
            <w:pPr>
              <w:pStyle w:val="ListParagraph"/>
              <w:numPr>
                <w:ilvl w:val="3"/>
                <w:numId w:val="6"/>
              </w:numPr>
              <w:tabs>
                <w:tab w:val="left" w:pos="792"/>
              </w:tabs>
              <w:ind w:left="0" w:firstLine="0"/>
              <w:jc w:val="both"/>
              <w:rPr>
                <w:rFonts w:ascii="Times New Roman" w:hAnsi="Times New Roman" w:cs="Times New Roman"/>
              </w:rPr>
            </w:pPr>
            <w:r w:rsidRPr="004B228A">
              <w:rPr>
                <w:rFonts w:ascii="Times New Roman" w:eastAsia="Calibri" w:hAnsi="Times New Roman" w:cs="Times New Roman"/>
                <w:b/>
                <w:bCs/>
              </w:rPr>
              <w:t>Apliecinājums</w:t>
            </w:r>
            <w:r w:rsidRPr="004B228A">
              <w:rPr>
                <w:rFonts w:ascii="Times New Roman" w:eastAsia="Calibri" w:hAnsi="Times New Roman" w:cs="Times New Roman"/>
                <w:bCs/>
              </w:rPr>
              <w:t>, ka Pretendents līdz iepirkuma līguma noslēgšanai būs reģistrēts Latvijas Republikas Komercreģistrā vai ārvalstīs attiecīgās valsts normatīvajos aktos paredzētajā kārtībā.</w:t>
            </w:r>
          </w:p>
          <w:p w14:paraId="3C17710C" w14:textId="77777777" w:rsidR="008B3EC1" w:rsidRPr="004B228A" w:rsidRDefault="008B3EC1" w:rsidP="00726D03">
            <w:pPr>
              <w:jc w:val="both"/>
              <w:rPr>
                <w:rFonts w:ascii="Times New Roman" w:eastAsia="Calibri" w:hAnsi="Times New Roman" w:cs="Times New Roman"/>
              </w:rPr>
            </w:pPr>
          </w:p>
        </w:tc>
      </w:tr>
      <w:tr w:rsidR="008B3EC1" w:rsidRPr="003410A3" w14:paraId="089006A6" w14:textId="77777777" w:rsidTr="00726D03">
        <w:trPr>
          <w:trHeight w:val="5172"/>
        </w:trPr>
        <w:tc>
          <w:tcPr>
            <w:tcW w:w="4340" w:type="dxa"/>
            <w:vMerge/>
          </w:tcPr>
          <w:p w14:paraId="6444C6B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3D882004" w14:textId="77777777" w:rsidR="008B3EC1" w:rsidRPr="004B228A" w:rsidRDefault="008B3EC1" w:rsidP="00D63446">
            <w:pPr>
              <w:pStyle w:val="ListParagraph"/>
              <w:numPr>
                <w:ilvl w:val="3"/>
                <w:numId w:val="6"/>
              </w:numPr>
              <w:ind w:left="0" w:firstLine="2"/>
              <w:jc w:val="both"/>
              <w:rPr>
                <w:rFonts w:ascii="Times New Roman" w:hAnsi="Times New Roman" w:cs="Times New Roman"/>
              </w:rPr>
            </w:pPr>
            <w:r w:rsidRPr="004B228A">
              <w:rPr>
                <w:rFonts w:ascii="Times New Roman" w:hAnsi="Times New Roman" w:cs="Times New Roman"/>
                <w:bCs/>
                <w:color w:val="000000"/>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4B228A" w:rsidRDefault="008B3EC1" w:rsidP="00726D03">
            <w:pPr>
              <w:ind w:firstLine="367"/>
              <w:jc w:val="both"/>
              <w:rPr>
                <w:rFonts w:ascii="Times New Roman" w:hAnsi="Times New Roman" w:cs="Times New Roman"/>
                <w:b/>
                <w:color w:val="000000"/>
              </w:rPr>
            </w:pPr>
          </w:p>
          <w:p w14:paraId="1B0A12E4" w14:textId="77777777" w:rsidR="008B3EC1" w:rsidRPr="004B228A" w:rsidRDefault="008B3EC1" w:rsidP="00726D03">
            <w:pPr>
              <w:jc w:val="both"/>
              <w:rPr>
                <w:rFonts w:ascii="Times New Roman" w:eastAsia="Calibri" w:hAnsi="Times New Roman" w:cs="Times New Roman"/>
                <w:b/>
              </w:rPr>
            </w:pPr>
            <w:r w:rsidRPr="004B228A">
              <w:rPr>
                <w:rFonts w:ascii="Times New Roman" w:hAnsi="Times New Roman" w:cs="Times New Roman"/>
                <w:b/>
                <w:color w:val="000000"/>
                <w:u w:val="single"/>
              </w:rPr>
              <w:t>Apliecinājums nav jāiesniedz</w:t>
            </w:r>
            <w:r w:rsidRPr="004B228A">
              <w:rPr>
                <w:rFonts w:ascii="Times New Roman" w:hAnsi="Times New Roman" w:cs="Times New Roman"/>
                <w:b/>
                <w:color w:val="000000"/>
              </w:rPr>
              <w:t>, ja Pretendents vai personu apvienība jau ir reģistrēta Latvijas Republikas Komercreģistrā</w:t>
            </w:r>
            <w:r w:rsidRPr="004B228A">
              <w:rPr>
                <w:rFonts w:ascii="Times New Roman" w:eastAsia="Calibri" w:hAnsi="Times New Roman" w:cs="Times New Roman"/>
                <w:b/>
              </w:rPr>
              <w:t xml:space="preserve"> vai ārvalstīs attiecīgās valsts normatīvajos aktos paredzētajā kārtībā.</w:t>
            </w:r>
          </w:p>
          <w:p w14:paraId="6C836A40" w14:textId="77777777" w:rsidR="008B3EC1" w:rsidRPr="004B228A" w:rsidRDefault="008B3EC1" w:rsidP="00726D03">
            <w:pPr>
              <w:jc w:val="both"/>
              <w:rPr>
                <w:rFonts w:ascii="Times New Roman" w:hAnsi="Times New Roman" w:cs="Times New Roman"/>
              </w:rPr>
            </w:pPr>
          </w:p>
        </w:tc>
      </w:tr>
      <w:tr w:rsidR="008B3EC1" w:rsidRPr="00F67A4E" w14:paraId="461226FD" w14:textId="77777777" w:rsidTr="00726D03">
        <w:trPr>
          <w:trHeight w:val="12203"/>
        </w:trPr>
        <w:tc>
          <w:tcPr>
            <w:tcW w:w="4340" w:type="dxa"/>
            <w:vMerge/>
          </w:tcPr>
          <w:p w14:paraId="185BC947"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14455A66" w14:textId="77777777" w:rsidR="008B3EC1" w:rsidRPr="004B228A" w:rsidRDefault="008B3EC1" w:rsidP="00D63446">
            <w:pPr>
              <w:pStyle w:val="ListParagraph"/>
              <w:numPr>
                <w:ilvl w:val="3"/>
                <w:numId w:val="6"/>
              </w:numPr>
              <w:tabs>
                <w:tab w:val="left" w:pos="792"/>
              </w:tabs>
              <w:ind w:left="0" w:firstLine="0"/>
              <w:jc w:val="both"/>
              <w:rPr>
                <w:rFonts w:ascii="Times New Roman" w:eastAsia="Calibri" w:hAnsi="Times New Roman" w:cs="Times New Roman"/>
              </w:rPr>
            </w:pPr>
            <w:r w:rsidRPr="004B228A">
              <w:rPr>
                <w:rFonts w:ascii="Times New Roman" w:eastAsia="Calibri" w:hAnsi="Times New Roman" w:cs="Times New Roman"/>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Apvienības izveidošanas mērķis un darbības laiks.</w:t>
            </w:r>
          </w:p>
          <w:p w14:paraId="610398C8"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Kādus darbu veidus un kādā apjomā (gan naudas izteiksmē, gan procentuāli) veiks katrs no apvienības dalībniekiem.</w:t>
            </w:r>
          </w:p>
          <w:p w14:paraId="127F5DCF"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4B228A" w:rsidRDefault="008B3EC1" w:rsidP="00726D03">
            <w:pPr>
              <w:ind w:left="1062"/>
              <w:jc w:val="both"/>
              <w:rPr>
                <w:rFonts w:ascii="Times New Roman" w:eastAsia="Calibri" w:hAnsi="Times New Roman" w:cs="Times New Roman"/>
              </w:rPr>
            </w:pPr>
          </w:p>
          <w:p w14:paraId="6863571F" w14:textId="77777777" w:rsidR="008B3EC1" w:rsidRPr="004B228A" w:rsidRDefault="008B3EC1" w:rsidP="00726D03">
            <w:pPr>
              <w:jc w:val="both"/>
              <w:rPr>
                <w:rFonts w:ascii="Times New Roman" w:hAnsi="Times New Roman" w:cs="Times New Roman"/>
                <w:bCs/>
                <w:color w:val="000000"/>
              </w:rPr>
            </w:pPr>
            <w:r w:rsidRPr="004B228A">
              <w:rPr>
                <w:rFonts w:ascii="Times New Roman" w:eastAsia="Calibri" w:hAnsi="Times New Roman" w:cs="Times New Roman"/>
              </w:rPr>
              <w:t>Vienošanās protokolam jāpievieno visu personu apvienības dalībnieku personu ar pārstāvības tiesībām parakstīta pilnvara par pilnvarotās personas nozīmēšanu.</w:t>
            </w:r>
          </w:p>
        </w:tc>
      </w:tr>
      <w:tr w:rsidR="008B3EC1" w:rsidRPr="00953A15" w14:paraId="7C827FFB" w14:textId="77777777" w:rsidTr="00726D03">
        <w:tc>
          <w:tcPr>
            <w:tcW w:w="4340" w:type="dxa"/>
          </w:tcPr>
          <w:p w14:paraId="3D5889AE"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4A04CA86" w:rsidR="008B3EC1" w:rsidRPr="004B228A" w:rsidRDefault="008B3EC1" w:rsidP="004A2AB3">
            <w:pPr>
              <w:pStyle w:val="ListParagraph"/>
              <w:numPr>
                <w:ilvl w:val="2"/>
                <w:numId w:val="6"/>
              </w:numPr>
              <w:ind w:left="83" w:firstLine="0"/>
              <w:contextualSpacing w:val="0"/>
              <w:jc w:val="both"/>
              <w:rPr>
                <w:rFonts w:ascii="Times New Roman" w:hAnsi="Times New Roman" w:cs="Times New Roman"/>
                <w:iCs/>
              </w:rPr>
            </w:pPr>
            <w:r w:rsidRPr="004B228A">
              <w:rPr>
                <w:rFonts w:ascii="Times New Roman" w:eastAsia="Calibri" w:hAnsi="Times New Roman" w:cs="Times New Roman"/>
                <w:bCs/>
              </w:rPr>
              <w:t xml:space="preserve">Ja Pretendents, lai nodrošinātu līgumsaistību izpildi, paredz balstīties uz citu piegādātāju iespējām, Pretendentam jāiesniedz </w:t>
            </w:r>
            <w:r w:rsidRPr="004B228A">
              <w:rPr>
                <w:rFonts w:ascii="Times New Roman" w:eastAsia="Calibri" w:hAnsi="Times New Roman" w:cs="Times New Roman"/>
                <w:b/>
                <w:bCs/>
              </w:rPr>
              <w:t xml:space="preserve">apakšuzņēmēju saraksts un apakšuzņēmēja apliecinājums </w:t>
            </w:r>
            <w:r w:rsidRPr="004B228A">
              <w:rPr>
                <w:rFonts w:ascii="Times New Roman" w:eastAsia="Calibri" w:hAnsi="Times New Roman" w:cs="Times New Roman"/>
                <w:bCs/>
              </w:rPr>
              <w:t xml:space="preserve">(saskaņā ar šī nolikuma </w:t>
            </w:r>
            <w:r w:rsidR="009C490F">
              <w:rPr>
                <w:rFonts w:ascii="Times New Roman" w:eastAsia="Calibri" w:hAnsi="Times New Roman" w:cs="Times New Roman"/>
                <w:b/>
                <w:bCs/>
              </w:rPr>
              <w:t>3</w:t>
            </w:r>
            <w:r w:rsidRPr="004B228A">
              <w:rPr>
                <w:rFonts w:ascii="Times New Roman" w:eastAsia="Calibri" w:hAnsi="Times New Roman" w:cs="Times New Roman"/>
                <w:b/>
                <w:bCs/>
              </w:rPr>
              <w:t>.pielikumu</w:t>
            </w:r>
            <w:r w:rsidRPr="004B228A">
              <w:rPr>
                <w:rFonts w:ascii="Times New Roman" w:eastAsia="Calibri" w:hAnsi="Times New Roman" w:cs="Times New Roman"/>
                <w:bCs/>
              </w:rPr>
              <w:t>). Sarakstā jānorāda arī apa</w:t>
            </w:r>
            <w:r w:rsidR="002B1D96" w:rsidRPr="004B228A">
              <w:rPr>
                <w:rFonts w:ascii="Times New Roman" w:eastAsia="Calibri" w:hAnsi="Times New Roman" w:cs="Times New Roman"/>
                <w:bCs/>
              </w:rPr>
              <w:t xml:space="preserve">kšuzņēmēju apakšuzņēmēji, ja to </w:t>
            </w:r>
            <w:r w:rsidRPr="004B228A">
              <w:rPr>
                <w:rFonts w:ascii="Times New Roman" w:eastAsia="Calibri" w:hAnsi="Times New Roman" w:cs="Times New Roman"/>
                <w:bCs/>
              </w:rPr>
              <w:t xml:space="preserve">sniedzamo pakalpojumu vērtība ir 10 procenti no kopējās iepirkuma līguma vērtības vai </w:t>
            </w:r>
            <w:r w:rsidRPr="004B228A">
              <w:rPr>
                <w:rFonts w:ascii="Times New Roman" w:eastAsia="Calibri" w:hAnsi="Times New Roman" w:cs="Times New Roman"/>
                <w:bCs/>
              </w:rPr>
              <w:lastRenderedPageBreak/>
              <w:t xml:space="preserve">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Pr="004B228A" w:rsidRDefault="008B3EC1" w:rsidP="00D63446">
            <w:pPr>
              <w:pStyle w:val="ListParagraph"/>
              <w:numPr>
                <w:ilvl w:val="2"/>
                <w:numId w:val="8"/>
              </w:numPr>
              <w:tabs>
                <w:tab w:val="left" w:pos="171"/>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4B228A" w:rsidRDefault="008B3EC1" w:rsidP="00726D03">
            <w:pPr>
              <w:pStyle w:val="ListParagraph"/>
              <w:tabs>
                <w:tab w:val="left" w:pos="171"/>
              </w:tabs>
              <w:ind w:left="0"/>
              <w:jc w:val="both"/>
              <w:rPr>
                <w:rFonts w:ascii="Times New Roman" w:eastAsia="Times New Roman" w:hAnsi="Times New Roman" w:cs="Times New Roman"/>
                <w:lang w:eastAsia="lv-LV"/>
              </w:rPr>
            </w:pPr>
          </w:p>
          <w:p w14:paraId="3CBF5C00" w14:textId="77777777" w:rsidR="008B3EC1" w:rsidRPr="004B228A" w:rsidRDefault="008B3EC1" w:rsidP="00726D03">
            <w:pPr>
              <w:pStyle w:val="ListParagraph"/>
              <w:tabs>
                <w:tab w:val="left" w:pos="171"/>
              </w:tabs>
              <w:ind w:left="29"/>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4B228A" w:rsidRDefault="008B3EC1" w:rsidP="00D63446">
            <w:pPr>
              <w:pStyle w:val="ListParagraph"/>
              <w:numPr>
                <w:ilvl w:val="2"/>
                <w:numId w:val="6"/>
              </w:numPr>
              <w:ind w:left="0" w:firstLine="0"/>
              <w:contextualSpacing w:val="0"/>
              <w:jc w:val="both"/>
              <w:rPr>
                <w:rFonts w:ascii="Times New Roman" w:hAnsi="Times New Roman" w:cs="Times New Roman"/>
              </w:rPr>
            </w:pPr>
            <w:r w:rsidRPr="004B228A">
              <w:rPr>
                <w:rFonts w:ascii="Times New Roman" w:hAnsi="Times New Roman" w:cs="Times New Roman"/>
                <w:iCs/>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Pr="004B228A" w:rsidRDefault="008B3EC1" w:rsidP="00726D03">
            <w:pPr>
              <w:pStyle w:val="ListParagraph"/>
              <w:ind w:left="0"/>
              <w:contextualSpacing w:val="0"/>
              <w:jc w:val="both"/>
              <w:rPr>
                <w:rFonts w:ascii="Times New Roman" w:hAnsi="Times New Roman" w:cs="Times New Roman"/>
                <w:iCs/>
              </w:rPr>
            </w:pPr>
          </w:p>
          <w:p w14:paraId="425BC54D" w14:textId="77777777" w:rsidR="008B3EC1" w:rsidRPr="004B228A" w:rsidRDefault="008B3EC1" w:rsidP="00726D03">
            <w:pPr>
              <w:pStyle w:val="ListParagraph"/>
              <w:ind w:left="0"/>
              <w:contextualSpacing w:val="0"/>
              <w:jc w:val="both"/>
              <w:rPr>
                <w:rFonts w:ascii="Times New Roman" w:hAnsi="Times New Roman" w:cs="Times New Roman"/>
                <w:iCs/>
              </w:rPr>
            </w:pPr>
            <w:r w:rsidRPr="004B228A">
              <w:rPr>
                <w:rFonts w:ascii="Times New Roman" w:hAnsi="Times New Roman" w:cs="Times New Roman"/>
                <w:iCs/>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7" w:name="_Toc83216223"/>
      <w:r w:rsidRPr="00953A15">
        <w:t xml:space="preserve">TEHNISKAIS </w:t>
      </w:r>
      <w:r>
        <w:t>PIEDĀVĀJUMS</w:t>
      </w:r>
      <w:r w:rsidRPr="00953A15">
        <w:t xml:space="preserve"> </w:t>
      </w:r>
      <w:r>
        <w:t xml:space="preserve">UN </w:t>
      </w:r>
      <w:r w:rsidRPr="00953A15">
        <w:t>FINANŠU PIEDĀVĀJUMS</w:t>
      </w:r>
      <w:bookmarkEnd w:id="7"/>
    </w:p>
    <w:p w14:paraId="0CCB7727" w14:textId="2C6F2F29" w:rsidR="00E75D9B" w:rsidRPr="004B228A" w:rsidRDefault="00E75D9B" w:rsidP="00D63446">
      <w:pPr>
        <w:numPr>
          <w:ilvl w:val="1"/>
          <w:numId w:val="7"/>
        </w:numPr>
        <w:spacing w:after="0" w:line="240" w:lineRule="auto"/>
        <w:ind w:left="993" w:hanging="567"/>
        <w:jc w:val="both"/>
        <w:rPr>
          <w:rFonts w:ascii="Times New Roman" w:hAnsi="Times New Roman" w:cs="Times New Roman"/>
          <w:b/>
          <w:bCs/>
        </w:rPr>
      </w:pPr>
      <w:r w:rsidRPr="004B228A">
        <w:rPr>
          <w:rFonts w:ascii="Times New Roman" w:hAnsi="Times New Roman" w:cs="Times New Roman"/>
          <w:bCs/>
        </w:rPr>
        <w:t xml:space="preserve">Pretendentam jāiesniedz </w:t>
      </w:r>
      <w:r w:rsidRPr="004B228A">
        <w:rPr>
          <w:rFonts w:ascii="Times New Roman" w:hAnsi="Times New Roman" w:cs="Times New Roman"/>
          <w:b/>
          <w:bCs/>
        </w:rPr>
        <w:t>pieteikums</w:t>
      </w:r>
      <w:r w:rsidRPr="004B228A">
        <w:rPr>
          <w:rFonts w:ascii="Times New Roman" w:hAnsi="Times New Roman" w:cs="Times New Roman"/>
          <w:bCs/>
        </w:rPr>
        <w:t xml:space="preserve"> dalībai Iepirkuma procedūrā atbilstoši </w:t>
      </w:r>
      <w:r w:rsidR="009C490F">
        <w:rPr>
          <w:rFonts w:ascii="Times New Roman" w:hAnsi="Times New Roman" w:cs="Times New Roman"/>
          <w:b/>
          <w:bCs/>
        </w:rPr>
        <w:t>2</w:t>
      </w:r>
      <w:r w:rsidR="005C0F45" w:rsidRPr="004B228A">
        <w:rPr>
          <w:rFonts w:ascii="Times New Roman" w:hAnsi="Times New Roman" w:cs="Times New Roman"/>
          <w:b/>
          <w:bCs/>
        </w:rPr>
        <w:t>.pielikumā</w:t>
      </w:r>
      <w:r w:rsidRPr="004B228A">
        <w:rPr>
          <w:rFonts w:ascii="Times New Roman" w:hAnsi="Times New Roman" w:cs="Times New Roman"/>
          <w:bCs/>
        </w:rPr>
        <w:t xml:space="preserve"> pievienotajai veidnei.</w:t>
      </w:r>
    </w:p>
    <w:p w14:paraId="03C0774B" w14:textId="77777777" w:rsidR="00E75D9B" w:rsidRPr="00953A15" w:rsidRDefault="00E75D9B" w:rsidP="00D63446">
      <w:pPr>
        <w:pStyle w:val="Heading1"/>
        <w:numPr>
          <w:ilvl w:val="0"/>
          <w:numId w:val="7"/>
        </w:numPr>
      </w:pPr>
      <w:bookmarkStart w:id="8" w:name="_Toc83216224"/>
      <w:r w:rsidRPr="00953A15">
        <w:t>PIEDĀVĀJUMA SAGATAVOŠANA UN NOFORMĒŠANA</w:t>
      </w:r>
      <w:bookmarkEnd w:id="8"/>
    </w:p>
    <w:p w14:paraId="09AD2FFF" w14:textId="77777777" w:rsidR="00E75D9B" w:rsidRPr="004B228A" w:rsidRDefault="00E75D9B" w:rsidP="00D63446">
      <w:pPr>
        <w:pStyle w:val="ListParagraph"/>
        <w:numPr>
          <w:ilvl w:val="1"/>
          <w:numId w:val="7"/>
        </w:numPr>
        <w:ind w:left="851" w:hanging="425"/>
        <w:jc w:val="both"/>
        <w:rPr>
          <w:rFonts w:ascii="Times New Roman" w:hAnsi="Times New Roman" w:cs="Times New Roman"/>
          <w:lang w:eastAsia="x-none"/>
        </w:rPr>
      </w:pPr>
      <w:r w:rsidRPr="004B228A">
        <w:rPr>
          <w:rFonts w:ascii="Times New Roman" w:hAnsi="Times New Roman" w:cs="Times New Roman"/>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Piegādātājs sagatavo, noformē un iesniedz Piedāvājumu saskaņā ar Iepirkuma dokumentiem.</w:t>
      </w:r>
    </w:p>
    <w:p w14:paraId="11C809E6"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lastRenderedPageBreak/>
        <w:t>Piedāvājuma dokumenti jāsagatavo un jāiesniedz latviešu valodā, tiem jābūt skaidri salasāmiem, lapām sanumurētām un apliecinātiem Latvijas Republikas normatīvajos aktos noteiktajā kārtībā.</w:t>
      </w:r>
    </w:p>
    <w:p w14:paraId="4E4C30F1"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4B228A" w:rsidRDefault="00E75D9B" w:rsidP="00E75D9B">
      <w:pPr>
        <w:tabs>
          <w:tab w:val="left" w:pos="1004"/>
          <w:tab w:val="left" w:pos="1134"/>
        </w:tabs>
        <w:spacing w:after="0"/>
        <w:ind w:left="851"/>
        <w:jc w:val="both"/>
        <w:rPr>
          <w:rFonts w:ascii="Times New Roman" w:hAnsi="Times New Roman" w:cs="Times New Roman"/>
          <w:lang w:eastAsia="x-none"/>
        </w:rPr>
      </w:pPr>
      <w:r w:rsidRPr="004B228A">
        <w:rPr>
          <w:rFonts w:ascii="Times New Roman" w:hAnsi="Times New Roman" w:cs="Times New Roman"/>
          <w:lang w:eastAsia="x-none"/>
        </w:rPr>
        <w:t xml:space="preserve">Par kaitējumu, kas radies dokumenta nepareiza tulkojuma dēļ, Pretendents atbild Latvijas Republikas normatīvajos tiesību aktos noteiktajā kārtībā. </w:t>
      </w:r>
    </w:p>
    <w:p w14:paraId="49A05B33"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4B228A"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lang w:eastAsia="x-none"/>
        </w:rPr>
      </w:pPr>
      <w:r w:rsidRPr="004B228A">
        <w:rPr>
          <w:rFonts w:ascii="Times New Roman" w:hAnsi="Times New Roman" w:cs="Times New Roman"/>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4B228A" w:rsidRDefault="00E75D9B" w:rsidP="00E75D9B">
      <w:pPr>
        <w:tabs>
          <w:tab w:val="left" w:pos="709"/>
          <w:tab w:val="left" w:pos="851"/>
        </w:tabs>
        <w:spacing w:after="0" w:line="240" w:lineRule="auto"/>
        <w:ind w:left="1134"/>
        <w:jc w:val="both"/>
        <w:rPr>
          <w:rFonts w:ascii="Times New Roman" w:hAnsi="Times New Roman" w:cs="Times New Roman"/>
          <w:lang w:eastAsia="x-none"/>
        </w:rPr>
      </w:pPr>
    </w:p>
    <w:p w14:paraId="163F9E63" w14:textId="77777777" w:rsidR="00E75D9B" w:rsidRPr="00953A15" w:rsidRDefault="00E75D9B" w:rsidP="00D63446">
      <w:pPr>
        <w:pStyle w:val="Heading1"/>
        <w:numPr>
          <w:ilvl w:val="0"/>
          <w:numId w:val="7"/>
        </w:numPr>
      </w:pPr>
      <w:bookmarkStart w:id="9" w:name="_Toc83216225"/>
      <w:r w:rsidRPr="00953A15">
        <w:t>PIEDĀVĀJUMA IESNIEGŠANA UN ATVĒRŠANA</w:t>
      </w:r>
      <w:bookmarkEnd w:id="9"/>
    </w:p>
    <w:p w14:paraId="21AC08EB" w14:textId="1E3332A1" w:rsidR="00E75D9B" w:rsidRPr="004B228A" w:rsidRDefault="00E75D9B" w:rsidP="00D63446">
      <w:pPr>
        <w:numPr>
          <w:ilvl w:val="1"/>
          <w:numId w:val="7"/>
        </w:numPr>
        <w:spacing w:after="0" w:line="240" w:lineRule="auto"/>
        <w:ind w:left="993" w:hanging="568"/>
        <w:jc w:val="both"/>
        <w:rPr>
          <w:rFonts w:ascii="Times New Roman" w:hAnsi="Times New Roman" w:cs="Times New Roman"/>
        </w:rPr>
      </w:pPr>
      <w:r w:rsidRPr="004B228A">
        <w:rPr>
          <w:rFonts w:ascii="Times New Roman" w:hAnsi="Times New Roman" w:cs="Times New Roman"/>
        </w:rPr>
        <w:t xml:space="preserve">Piedāvājums jāiesniedz </w:t>
      </w:r>
      <w:r w:rsidRPr="004B228A">
        <w:rPr>
          <w:rFonts w:ascii="Times New Roman" w:hAnsi="Times New Roman" w:cs="Times New Roman"/>
          <w:b/>
          <w:bCs/>
        </w:rPr>
        <w:t xml:space="preserve">līdz 2021.gada </w:t>
      </w:r>
      <w:r w:rsidR="005358AA">
        <w:rPr>
          <w:rFonts w:ascii="Times New Roman" w:hAnsi="Times New Roman" w:cs="Times New Roman"/>
          <w:b/>
          <w:bCs/>
        </w:rPr>
        <w:t>11.novembrim</w:t>
      </w:r>
      <w:r w:rsidRPr="004B228A">
        <w:rPr>
          <w:rFonts w:ascii="Times New Roman" w:hAnsi="Times New Roman" w:cs="Times New Roman"/>
          <w:b/>
          <w:bCs/>
        </w:rPr>
        <w:t xml:space="preserve"> plkst. 1</w:t>
      </w:r>
      <w:r w:rsidR="00B539FE" w:rsidRPr="004B228A">
        <w:rPr>
          <w:rFonts w:ascii="Times New Roman" w:hAnsi="Times New Roman" w:cs="Times New Roman"/>
          <w:b/>
          <w:bCs/>
        </w:rPr>
        <w:t>0</w:t>
      </w:r>
      <w:r w:rsidRPr="004B228A">
        <w:rPr>
          <w:rFonts w:ascii="Times New Roman" w:hAnsi="Times New Roman" w:cs="Times New Roman"/>
          <w:b/>
          <w:bCs/>
        </w:rPr>
        <w:t xml:space="preserve">:00 elektroniski EIS e-konkursu apakšsistēmā </w:t>
      </w:r>
      <w:r w:rsidRPr="004B228A">
        <w:rPr>
          <w:rFonts w:ascii="Times New Roman" w:hAnsi="Times New Roman" w:cs="Times New Roman"/>
        </w:rPr>
        <w:t>vienā no zemāk minētajiem formātiem. Katra iesniedzamā dokumenta formāts var atšķirties, bet ir jāievēro šādi iespējamie veidi:</w:t>
      </w:r>
    </w:p>
    <w:p w14:paraId="5FDEE7C0" w14:textId="77777777" w:rsidR="00E75D9B" w:rsidRPr="004B228A" w:rsidRDefault="00E75D9B" w:rsidP="00D63446">
      <w:pPr>
        <w:numPr>
          <w:ilvl w:val="2"/>
          <w:numId w:val="7"/>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izmantojot EIS e-konkursu apakšsistēmas piedāvātos rīkus, aizpildot minētās sistēmas e-konkursu apakšsistēmā šī konkursa sadaļā ievietotās formas;</w:t>
      </w:r>
    </w:p>
    <w:p w14:paraId="056D9C6D" w14:textId="77777777" w:rsidR="00E75D9B" w:rsidRPr="004B228A" w:rsidRDefault="00E75D9B" w:rsidP="00D63446">
      <w:pPr>
        <w:numPr>
          <w:ilvl w:val="2"/>
          <w:numId w:val="7"/>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4B228A" w:rsidRDefault="00E75D9B" w:rsidP="00D63446">
      <w:pPr>
        <w:numPr>
          <w:ilvl w:val="1"/>
          <w:numId w:val="7"/>
        </w:numPr>
        <w:tabs>
          <w:tab w:val="left" w:pos="284"/>
        </w:tabs>
        <w:spacing w:after="0" w:line="240" w:lineRule="auto"/>
        <w:ind w:left="1134" w:hanging="708"/>
        <w:jc w:val="both"/>
        <w:rPr>
          <w:rFonts w:ascii="Times New Roman" w:hAnsi="Times New Roman" w:cs="Times New Roman"/>
        </w:rPr>
      </w:pPr>
      <w:r w:rsidRPr="004B228A">
        <w:rPr>
          <w:rFonts w:ascii="Times New Roman" w:hAnsi="Times New Roman" w:cs="Times New Roman"/>
          <w:b/>
        </w:rPr>
        <w:t xml:space="preserve">Ārpus EIS e-konkursu apakšsistēmas iesniegtie piedāvājumi tiks atzīti par neatbilstošiem šī nolikuma prasībām un neatvērtā veidā tiks nosūtīti atpakaļ iesniedzējam. </w:t>
      </w:r>
    </w:p>
    <w:p w14:paraId="57474A69" w14:textId="77777777"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5593E9E6"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lastRenderedPageBreak/>
        <w:t xml:space="preserve">Piedāvājumu atvēršana sākas tūlīt pēc piedāvājumu iesniegšanas termiņa beigām. Piedāvājumu atvēršanas sanāksme notiks Ventspils brīvostas pārvaldē Jāņa ielā 19, Ventspilī </w:t>
      </w:r>
      <w:r w:rsidRPr="004B228A">
        <w:rPr>
          <w:rFonts w:ascii="Times New Roman" w:hAnsi="Times New Roman" w:cs="Times New Roman"/>
          <w:b/>
        </w:rPr>
        <w:t xml:space="preserve">2021.gada </w:t>
      </w:r>
      <w:r w:rsidR="005358AA">
        <w:rPr>
          <w:rFonts w:ascii="Times New Roman" w:hAnsi="Times New Roman" w:cs="Times New Roman"/>
          <w:b/>
        </w:rPr>
        <w:t>11.novembrī</w:t>
      </w:r>
      <w:r w:rsidRPr="004B228A">
        <w:rPr>
          <w:rFonts w:ascii="Times New Roman" w:hAnsi="Times New Roman" w:cs="Times New Roman"/>
          <w:b/>
        </w:rPr>
        <w:t xml:space="preserve"> plkst. 1</w:t>
      </w:r>
      <w:r w:rsidR="00B539FE" w:rsidRPr="004B228A">
        <w:rPr>
          <w:rFonts w:ascii="Times New Roman" w:hAnsi="Times New Roman" w:cs="Times New Roman"/>
          <w:b/>
        </w:rPr>
        <w:t>0</w:t>
      </w:r>
      <w:r w:rsidRPr="004B228A">
        <w:rPr>
          <w:rFonts w:ascii="Times New Roman" w:hAnsi="Times New Roman" w:cs="Times New Roman"/>
          <w:b/>
        </w:rPr>
        <w:t>:00</w:t>
      </w:r>
      <w:r w:rsidRPr="004B228A">
        <w:rPr>
          <w:rFonts w:ascii="Times New Roman" w:hAnsi="Times New Roman" w:cs="Times New Roman"/>
        </w:rPr>
        <w:t>. Iesniegto piedāvājumu atvēršanas procesam var sekot līdzi tiešsaistes režīmā EIS e-konkursu apakšsistēmā. Pretendents var piedalīties piedāvājumu atvēršanas sanāksmē klātienē.</w:t>
      </w:r>
    </w:p>
    <w:p w14:paraId="116D6ECD" w14:textId="77777777"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Sagatavojot piedāvājumu, Pretendents ievēro, ka:</w:t>
      </w:r>
    </w:p>
    <w:p w14:paraId="2E405A88" w14:textId="77777777" w:rsidR="00E75D9B" w:rsidRPr="004B228A" w:rsidRDefault="00E75D9B" w:rsidP="00D63446">
      <w:pPr>
        <w:numPr>
          <w:ilvl w:val="2"/>
          <w:numId w:val="7"/>
        </w:numPr>
        <w:tabs>
          <w:tab w:val="left" w:pos="1134"/>
        </w:tabs>
        <w:spacing w:after="0" w:line="240" w:lineRule="auto"/>
        <w:ind w:left="1701" w:hanging="708"/>
        <w:jc w:val="both"/>
        <w:rPr>
          <w:rFonts w:ascii="Times New Roman" w:hAnsi="Times New Roman" w:cs="Times New Roman"/>
        </w:rPr>
      </w:pPr>
      <w:r w:rsidRPr="004B228A">
        <w:rPr>
          <w:rFonts w:ascii="Times New Roman" w:hAnsi="Times New Roman" w:cs="Times New Roman"/>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4B228A" w:rsidRDefault="00E75D9B" w:rsidP="00D63446">
      <w:pPr>
        <w:numPr>
          <w:ilvl w:val="2"/>
          <w:numId w:val="7"/>
        </w:numPr>
        <w:tabs>
          <w:tab w:val="left" w:pos="1560"/>
        </w:tabs>
        <w:spacing w:after="0" w:line="240" w:lineRule="auto"/>
        <w:ind w:left="1701" w:hanging="708"/>
        <w:jc w:val="both"/>
        <w:rPr>
          <w:rFonts w:ascii="Times New Roman" w:hAnsi="Times New Roman" w:cs="Times New Roman"/>
        </w:rPr>
      </w:pPr>
      <w:r w:rsidRPr="004B228A">
        <w:rPr>
          <w:rFonts w:ascii="Times New Roman" w:hAnsi="Times New Roman" w:cs="Times New Roman"/>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4B228A" w:rsidRDefault="00E75D9B" w:rsidP="00D63446">
      <w:pPr>
        <w:numPr>
          <w:ilvl w:val="1"/>
          <w:numId w:val="7"/>
        </w:numPr>
        <w:spacing w:after="0" w:line="240" w:lineRule="auto"/>
        <w:ind w:left="1134" w:hanging="642"/>
        <w:jc w:val="both"/>
        <w:rPr>
          <w:rFonts w:ascii="Times New Roman" w:hAnsi="Times New Roman" w:cs="Times New Roman"/>
        </w:rPr>
      </w:pPr>
      <w:r w:rsidRPr="004B228A">
        <w:rPr>
          <w:rFonts w:ascii="Times New Roman" w:hAnsi="Times New Roman" w:cs="Times New Roman"/>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10" w:name="_Toc83216226"/>
      <w:r w:rsidRPr="00953A15">
        <w:t>CITI NOTEIKUMI</w:t>
      </w:r>
      <w:bookmarkEnd w:id="10"/>
    </w:p>
    <w:p w14:paraId="6E2402B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Iepirkuma komisija pretendentu kvalifikācijas</w:t>
      </w:r>
      <w:r w:rsidR="00065676" w:rsidRPr="004B228A">
        <w:rPr>
          <w:sz w:val="22"/>
          <w:szCs w:val="22"/>
          <w:lang w:val="lv-LV"/>
        </w:rPr>
        <w:t xml:space="preserve"> un atlases</w:t>
      </w:r>
      <w:r w:rsidRPr="004B228A">
        <w:rPr>
          <w:sz w:val="22"/>
          <w:szCs w:val="22"/>
          <w:lang w:val="lv-LV"/>
        </w:rPr>
        <w:t xml:space="preserve"> atbilstības pārbaudi iepirkuma nolikumā noteiktajām prasībām veiks tikai tam pretendentam, kuram būtu piešķiramas iepirkuma līguma slēgšanas tiesības (</w:t>
      </w:r>
      <w:r w:rsidR="007D67EC" w:rsidRPr="004B228A">
        <w:rPr>
          <w:sz w:val="22"/>
          <w:szCs w:val="22"/>
          <w:lang w:val="lv-LV"/>
        </w:rPr>
        <w:t>piedāvājums ar zemāko līgumcenu</w:t>
      </w:r>
      <w:r w:rsidRPr="004B228A">
        <w:rPr>
          <w:sz w:val="22"/>
          <w:szCs w:val="22"/>
          <w:lang w:val="lv-LV"/>
        </w:rPr>
        <w:t xml:space="preserve">). </w:t>
      </w:r>
      <w:r w:rsidR="00065676" w:rsidRPr="004B228A">
        <w:rPr>
          <w:sz w:val="22"/>
          <w:szCs w:val="22"/>
          <w:lang w:val="lv-LV"/>
        </w:rPr>
        <w:t>Tehniskā piedāvājuma un f</w:t>
      </w:r>
      <w:r w:rsidRPr="004B228A">
        <w:rPr>
          <w:sz w:val="22"/>
          <w:szCs w:val="22"/>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4B228A" w:rsidRDefault="00E75D9B" w:rsidP="00E75D9B">
      <w:pPr>
        <w:pStyle w:val="BlockText"/>
        <w:ind w:left="1134" w:right="-57"/>
        <w:jc w:val="both"/>
        <w:rPr>
          <w:sz w:val="22"/>
          <w:szCs w:val="22"/>
        </w:rPr>
      </w:pPr>
      <w:r w:rsidRPr="004B228A">
        <w:rPr>
          <w:sz w:val="22"/>
          <w:szCs w:val="22"/>
        </w:rPr>
        <w:t>Ja Komisijai radīsies šaubas, vai Pretendenta piedāvājums ir nepamatoti lēts, Pretendentam tiks pieprasīts skaidrojums par piedāvāto cenu vai izmaksām.</w:t>
      </w:r>
    </w:p>
    <w:p w14:paraId="158507A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pirms piedāvājuma izvēles veiks finanšu piedāvājuma dokumentu pārbaudi, aritmētisko kļūdu labojumus. Aritmētisko kļūdu gadījumā tiks labota līgumcena.</w:t>
      </w:r>
    </w:p>
    <w:p w14:paraId="2B824125"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atbilstoši noteiktajam piedāvājumu izvēles kritērijam izvēlas piedāvājumu no tiem piedāvājumiem, kas atbilst iepirkuma nolikumā noteiktajām prasībām.</w:t>
      </w:r>
    </w:p>
    <w:p w14:paraId="205CC6C9" w14:textId="31F410CF" w:rsidR="00D63446" w:rsidRPr="004B228A" w:rsidRDefault="00D63446" w:rsidP="00D63446">
      <w:pPr>
        <w:pStyle w:val="naisf"/>
        <w:numPr>
          <w:ilvl w:val="1"/>
          <w:numId w:val="7"/>
        </w:numPr>
        <w:spacing w:before="60" w:beforeAutospacing="0" w:after="60" w:afterAutospacing="0"/>
        <w:ind w:left="1134" w:hanging="780"/>
        <w:rPr>
          <w:sz w:val="22"/>
          <w:szCs w:val="22"/>
          <w:lang w:val="lv-LV"/>
        </w:rPr>
      </w:pPr>
      <w:r w:rsidRPr="004B228A">
        <w:rPr>
          <w:b/>
          <w:sz w:val="22"/>
          <w:szCs w:val="22"/>
          <w:lang w:val="lv-LV" w:eastAsia="x-none"/>
        </w:rPr>
        <w:lastRenderedPageBreak/>
        <w:t xml:space="preserve">PIEDĀVĀJUMA IZVĒRTĒŠANAS KRITĒRIJS – </w:t>
      </w:r>
      <w:r w:rsidRPr="004B228A">
        <w:rPr>
          <w:sz w:val="22"/>
          <w:szCs w:val="22"/>
          <w:lang w:val="lv-LV" w:eastAsia="x-none"/>
        </w:rPr>
        <w:t xml:space="preserve">cena, tā kā </w:t>
      </w:r>
      <w:r w:rsidR="008C714C" w:rsidRPr="004B228A">
        <w:rPr>
          <w:sz w:val="22"/>
          <w:szCs w:val="22"/>
          <w:lang w:val="lv-LV" w:eastAsia="x-none"/>
        </w:rPr>
        <w:t>Tehniskā specifikācija</w:t>
      </w:r>
      <w:r w:rsidRPr="004B228A">
        <w:rPr>
          <w:sz w:val="22"/>
          <w:szCs w:val="22"/>
          <w:lang w:val="lv-LV" w:eastAsia="x-none"/>
        </w:rPr>
        <w:t xml:space="preserve"> ir sagatavot</w:t>
      </w:r>
      <w:r w:rsidR="008C714C" w:rsidRPr="004B228A">
        <w:rPr>
          <w:sz w:val="22"/>
          <w:szCs w:val="22"/>
          <w:lang w:val="lv-LV" w:eastAsia="x-none"/>
        </w:rPr>
        <w:t>a</w:t>
      </w:r>
      <w:r w:rsidRPr="004B228A">
        <w:rPr>
          <w:sz w:val="22"/>
          <w:szCs w:val="22"/>
          <w:lang w:val="lv-LV" w:eastAsia="x-none"/>
        </w:rPr>
        <w:t xml:space="preserve"> detalizēti un citiem kritērijiem nav būtiskas nozīmes piedāvājuma izvēlē.</w:t>
      </w:r>
    </w:p>
    <w:p w14:paraId="5CD0EFE9" w14:textId="77777777" w:rsidR="007D67EC" w:rsidRPr="004B228A" w:rsidRDefault="007D67EC" w:rsidP="00D63446">
      <w:pPr>
        <w:pStyle w:val="naisf"/>
        <w:numPr>
          <w:ilvl w:val="1"/>
          <w:numId w:val="7"/>
        </w:numPr>
        <w:spacing w:before="60" w:beforeAutospacing="0" w:after="60" w:afterAutospacing="0"/>
        <w:ind w:left="1134" w:hanging="782"/>
        <w:rPr>
          <w:sz w:val="22"/>
          <w:szCs w:val="22"/>
          <w:lang w:val="lv-LV"/>
        </w:rPr>
      </w:pPr>
      <w:r w:rsidRPr="004B228A">
        <w:rPr>
          <w:b/>
          <w:sz w:val="22"/>
          <w:szCs w:val="22"/>
          <w:lang w:val="lv-LV"/>
        </w:rPr>
        <w:t>PIEDĀVĀJUMA IZVĒLES KRITĒRIJS</w:t>
      </w:r>
      <w:r w:rsidRPr="004B228A">
        <w:rPr>
          <w:sz w:val="22"/>
          <w:szCs w:val="22"/>
          <w:lang w:val="lv-LV"/>
        </w:rPr>
        <w:t xml:space="preserve"> – saimnieciski visizdevīgākais piedāvājums – ar viszemāko līgumcenu.</w:t>
      </w:r>
    </w:p>
    <w:p w14:paraId="4E4A62A4"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4B228A" w:rsidRDefault="00E75D9B" w:rsidP="00E75D9B">
      <w:pPr>
        <w:pStyle w:val="BlockText"/>
        <w:ind w:left="1134" w:right="-57"/>
        <w:jc w:val="both"/>
        <w:rPr>
          <w:sz w:val="22"/>
          <w:szCs w:val="22"/>
        </w:rPr>
      </w:pPr>
      <w:r w:rsidRPr="004B228A">
        <w:rPr>
          <w:sz w:val="22"/>
          <w:szCs w:val="22"/>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w:t>
      </w:r>
      <w:r w:rsidRPr="004B228A">
        <w:rPr>
          <w:sz w:val="22"/>
          <w:szCs w:val="22"/>
          <w:lang w:val="lv-LV"/>
        </w:rPr>
        <w:lastRenderedPageBreak/>
        <w:t>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Pasūtītājs izslēgšanas nosacījumu esamību pārbaudīs Ārlietu ministrijas mājaslapā http://sankcijas.kd.gov.lv/ norādītajās vietnēs.</w:t>
      </w:r>
    </w:p>
    <w:p w14:paraId="3C96A620"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B228A" w:rsidRDefault="00E75D9B" w:rsidP="00D63446">
      <w:pPr>
        <w:pStyle w:val="naisf"/>
        <w:numPr>
          <w:ilvl w:val="1"/>
          <w:numId w:val="7"/>
        </w:numPr>
        <w:spacing w:before="0" w:beforeAutospacing="0" w:after="0" w:afterAutospacing="0"/>
        <w:ind w:left="993" w:hanging="709"/>
        <w:rPr>
          <w:sz w:val="22"/>
          <w:szCs w:val="22"/>
          <w:lang w:val="lv-LV"/>
        </w:rPr>
      </w:pPr>
      <w:r w:rsidRPr="004B228A">
        <w:rPr>
          <w:sz w:val="22"/>
          <w:szCs w:val="22"/>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11" w:name="_Toc83216227"/>
      <w:r w:rsidRPr="00953A15">
        <w:t>IEPIRKUMA LĪGUMA SLĒGŠANA</w:t>
      </w:r>
      <w:bookmarkEnd w:id="11"/>
    </w:p>
    <w:p w14:paraId="187B272D" w14:textId="3BDBCA3B" w:rsidR="00E75D9B" w:rsidRDefault="00E75D9B" w:rsidP="007902FA">
      <w:pPr>
        <w:pStyle w:val="ListParagraph"/>
        <w:numPr>
          <w:ilvl w:val="1"/>
          <w:numId w:val="7"/>
        </w:numPr>
        <w:spacing w:after="0" w:line="240" w:lineRule="auto"/>
        <w:jc w:val="both"/>
        <w:rPr>
          <w:rFonts w:ascii="Times New Roman" w:hAnsi="Times New Roman" w:cs="Times New Roman"/>
        </w:rPr>
      </w:pPr>
      <w:r w:rsidRPr="007902FA">
        <w:rPr>
          <w:rFonts w:ascii="Times New Roman" w:hAnsi="Times New Roman" w:cs="Times New Roman"/>
        </w:rPr>
        <w:t>Līgums jānoslēdz 5 (piecu) darba dienu laikā no Pasūtītāja rakstiska pieprasījuma saņemšanas.</w:t>
      </w:r>
    </w:p>
    <w:p w14:paraId="79EA1D03" w14:textId="3F349211" w:rsidR="005F1B0D" w:rsidRPr="007902FA" w:rsidRDefault="005F1B0D" w:rsidP="007902FA">
      <w:pPr>
        <w:pStyle w:val="ListParagraph"/>
        <w:numPr>
          <w:ilvl w:val="1"/>
          <w:numId w:val="7"/>
        </w:numPr>
        <w:spacing w:after="0" w:line="240" w:lineRule="auto"/>
        <w:jc w:val="both"/>
        <w:rPr>
          <w:rFonts w:ascii="Times New Roman" w:hAnsi="Times New Roman" w:cs="Times New Roman"/>
        </w:rPr>
      </w:pPr>
      <w:r>
        <w:rPr>
          <w:rFonts w:ascii="Times New Roman" w:hAnsi="Times New Roman" w:cs="Times New Roman"/>
        </w:rPr>
        <w:t>Līgumā tiks paredzēts:</w:t>
      </w:r>
    </w:p>
    <w:p w14:paraId="483C66C6" w14:textId="40AFBEAC" w:rsidR="007902FA" w:rsidRPr="001023AF" w:rsidRDefault="007902FA" w:rsidP="005F1B0D">
      <w:pPr>
        <w:pStyle w:val="ListParagraph"/>
        <w:numPr>
          <w:ilvl w:val="2"/>
          <w:numId w:val="7"/>
        </w:numPr>
        <w:spacing w:after="0"/>
        <w:jc w:val="both"/>
        <w:rPr>
          <w:rFonts w:ascii="Times New Roman" w:hAnsi="Times New Roman" w:cs="Times New Roman"/>
        </w:rPr>
      </w:pPr>
      <w:r w:rsidRPr="001023AF">
        <w:rPr>
          <w:rFonts w:ascii="Times New Roman" w:hAnsi="Times New Roman" w:cs="Times New Roman"/>
        </w:rPr>
        <w:t>P</w:t>
      </w:r>
      <w:r w:rsidR="00E06DE5" w:rsidRPr="001023AF">
        <w:rPr>
          <w:rFonts w:ascii="Times New Roman" w:hAnsi="Times New Roman" w:cs="Times New Roman"/>
        </w:rPr>
        <w:t>asūtītājs</w:t>
      </w:r>
      <w:r w:rsidRPr="001023AF">
        <w:rPr>
          <w:rFonts w:ascii="Times New Roman" w:hAnsi="Times New Roman" w:cs="Times New Roman"/>
        </w:rPr>
        <w:t xml:space="preserve"> veic Līguma summas apmaksu P</w:t>
      </w:r>
      <w:r w:rsidR="00E06DE5" w:rsidRPr="001023AF">
        <w:rPr>
          <w:rFonts w:ascii="Times New Roman" w:hAnsi="Times New Roman" w:cs="Times New Roman"/>
        </w:rPr>
        <w:t>retendentam</w:t>
      </w:r>
      <w:r w:rsidRPr="001023AF">
        <w:rPr>
          <w:rFonts w:ascii="Times New Roman" w:hAnsi="Times New Roman" w:cs="Times New Roman"/>
        </w:rPr>
        <w:t xml:space="preserve"> 20 darba dienu laikā pēc Līguma pieņemšanas nodošanas akta parakstīšanas un attiecīga rēķina saņemšanas.</w:t>
      </w:r>
    </w:p>
    <w:p w14:paraId="57BFF4F9" w14:textId="715E06B7" w:rsidR="007902FA" w:rsidRPr="001023AF" w:rsidRDefault="007902FA" w:rsidP="005F1B0D">
      <w:pPr>
        <w:pStyle w:val="ListParagraph"/>
        <w:numPr>
          <w:ilvl w:val="2"/>
          <w:numId w:val="7"/>
        </w:numPr>
        <w:spacing w:after="0"/>
        <w:jc w:val="both"/>
        <w:rPr>
          <w:rFonts w:ascii="Times New Roman" w:hAnsi="Times New Roman" w:cs="Times New Roman"/>
        </w:rPr>
      </w:pPr>
      <w:r w:rsidRPr="001023AF">
        <w:rPr>
          <w:rFonts w:ascii="Times New Roman" w:hAnsi="Times New Roman" w:cs="Times New Roman"/>
        </w:rPr>
        <w:t>Pusēm ir tiesības vienpusēji izbeigt šī Līguma darbību, ja kāda no Pusēm nepilda Līguma nosacījumus vairāk nekā 30 (trīsdesmit) dienas</w:t>
      </w:r>
      <w:r w:rsidR="005F1B0D" w:rsidRPr="001023AF">
        <w:rPr>
          <w:rFonts w:ascii="Times New Roman" w:hAnsi="Times New Roman" w:cs="Times New Roman"/>
        </w:rPr>
        <w:t>, brīdinot par to otru Pusi 5 (piecas) darba dienas iepriekš.</w:t>
      </w:r>
    </w:p>
    <w:p w14:paraId="59D7F2B2" w14:textId="77777777" w:rsidR="007902FA" w:rsidRPr="007902FA" w:rsidRDefault="007902FA" w:rsidP="007902FA">
      <w:pPr>
        <w:pStyle w:val="ListParagraph"/>
        <w:spacing w:after="0"/>
        <w:ind w:left="894"/>
        <w:rPr>
          <w:rFonts w:ascii="Times New Roman" w:hAnsi="Times New Roman" w:cs="Times New Roman"/>
        </w:rPr>
      </w:pP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A0F5" w14:textId="77777777" w:rsidR="00A91C3C" w:rsidRDefault="00A91C3C">
      <w:pPr>
        <w:spacing w:after="0" w:line="240" w:lineRule="auto"/>
      </w:pPr>
      <w:r>
        <w:separator/>
      </w:r>
    </w:p>
  </w:endnote>
  <w:endnote w:type="continuationSeparator" w:id="0">
    <w:p w14:paraId="0BB3647C" w14:textId="77777777" w:rsidR="00A91C3C" w:rsidRDefault="00A9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81322">
          <w:rPr>
            <w:noProof/>
          </w:rPr>
          <w:t>12</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55394">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1079" w14:textId="77777777" w:rsidR="00A91C3C" w:rsidRDefault="00A91C3C">
      <w:pPr>
        <w:spacing w:after="0" w:line="240" w:lineRule="auto"/>
      </w:pPr>
      <w:r>
        <w:separator/>
      </w:r>
    </w:p>
  </w:footnote>
  <w:footnote w:type="continuationSeparator" w:id="0">
    <w:p w14:paraId="4DFA39BB" w14:textId="77777777" w:rsidR="00A91C3C" w:rsidRDefault="00A91C3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6E786274"/>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1080"/>
        </w:tabs>
        <w:ind w:left="79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746541"/>
    <w:multiLevelType w:val="multilevel"/>
    <w:tmpl w:val="659ED60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
  </w:num>
  <w:num w:numId="4">
    <w:abstractNumId w:val="4"/>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577DD"/>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478E"/>
    <w:rsid w:val="000F537D"/>
    <w:rsid w:val="000F57CB"/>
    <w:rsid w:val="001023AF"/>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3316"/>
    <w:rsid w:val="0029497C"/>
    <w:rsid w:val="00294BAB"/>
    <w:rsid w:val="002971AC"/>
    <w:rsid w:val="002A260D"/>
    <w:rsid w:val="002A62A0"/>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152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1322"/>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317E"/>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228A"/>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358AA"/>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516B"/>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B0D"/>
    <w:rsid w:val="005F1EB1"/>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06841"/>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02FA"/>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7F5067"/>
    <w:rsid w:val="00804DF2"/>
    <w:rsid w:val="00810C26"/>
    <w:rsid w:val="0081169F"/>
    <w:rsid w:val="00815815"/>
    <w:rsid w:val="00820F17"/>
    <w:rsid w:val="00837275"/>
    <w:rsid w:val="00840F19"/>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1C0"/>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490F"/>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394"/>
    <w:rsid w:val="00A57429"/>
    <w:rsid w:val="00A67C4D"/>
    <w:rsid w:val="00A71169"/>
    <w:rsid w:val="00A711B2"/>
    <w:rsid w:val="00A72257"/>
    <w:rsid w:val="00A76FBF"/>
    <w:rsid w:val="00A80AF5"/>
    <w:rsid w:val="00A8319C"/>
    <w:rsid w:val="00A851A8"/>
    <w:rsid w:val="00A91C3C"/>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5481"/>
    <w:rsid w:val="00BC66FA"/>
    <w:rsid w:val="00BD18B3"/>
    <w:rsid w:val="00BD3B3F"/>
    <w:rsid w:val="00BE1274"/>
    <w:rsid w:val="00BE5E11"/>
    <w:rsid w:val="00BE6AAB"/>
    <w:rsid w:val="00BF2F78"/>
    <w:rsid w:val="00BF309E"/>
    <w:rsid w:val="00BF4201"/>
    <w:rsid w:val="00BF46F5"/>
    <w:rsid w:val="00BF50B0"/>
    <w:rsid w:val="00BF5703"/>
    <w:rsid w:val="00BF78A2"/>
    <w:rsid w:val="00C04711"/>
    <w:rsid w:val="00C04E2A"/>
    <w:rsid w:val="00C164CC"/>
    <w:rsid w:val="00C17468"/>
    <w:rsid w:val="00C2308C"/>
    <w:rsid w:val="00C23E9E"/>
    <w:rsid w:val="00C25E3E"/>
    <w:rsid w:val="00C27D3E"/>
    <w:rsid w:val="00C352D8"/>
    <w:rsid w:val="00C4185C"/>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35404"/>
    <w:rsid w:val="00D4471B"/>
    <w:rsid w:val="00D45F69"/>
    <w:rsid w:val="00D46A9D"/>
    <w:rsid w:val="00D46EB9"/>
    <w:rsid w:val="00D51B43"/>
    <w:rsid w:val="00D520C1"/>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6DE5"/>
    <w:rsid w:val="00E0756C"/>
    <w:rsid w:val="00E11F88"/>
    <w:rsid w:val="00E137B5"/>
    <w:rsid w:val="00E2056F"/>
    <w:rsid w:val="00E247FE"/>
    <w:rsid w:val="00E24EDE"/>
    <w:rsid w:val="00E35D72"/>
    <w:rsid w:val="00E47A50"/>
    <w:rsid w:val="00E514FA"/>
    <w:rsid w:val="00E558E8"/>
    <w:rsid w:val="00E575B6"/>
    <w:rsid w:val="00E61512"/>
    <w:rsid w:val="00E6280C"/>
    <w:rsid w:val="00E6568E"/>
    <w:rsid w:val="00E723FE"/>
    <w:rsid w:val="00E74491"/>
    <w:rsid w:val="00E75D9B"/>
    <w:rsid w:val="00E77966"/>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07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7902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7902FA"/>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7902FA"/>
    <w:pPr>
      <w:keepLines w:val="0"/>
      <w:widowControl w:val="0"/>
      <w:numPr>
        <w:ilvl w:val="1"/>
        <w:numId w:val="9"/>
      </w:numPr>
      <w:tabs>
        <w:tab w:val="clear" w:pos="108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7902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763C-4C4C-496F-BC7C-5E01174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19979</Words>
  <Characters>11389</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cp:revision>
  <cp:lastPrinted>2021-03-09T09:11:00Z</cp:lastPrinted>
  <dcterms:created xsi:type="dcterms:W3CDTF">2021-11-02T14:58:00Z</dcterms:created>
  <dcterms:modified xsi:type="dcterms:W3CDTF">2021-11-04T06:18:00Z</dcterms:modified>
</cp:coreProperties>
</file>