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52C" w14:textId="2411B5ED" w:rsidR="000468D6" w:rsidRPr="0066588D" w:rsidRDefault="0019725B" w:rsidP="000468D6">
      <w:pPr>
        <w:jc w:val="right"/>
        <w:rPr>
          <w:b/>
          <w:i/>
          <w:color w:val="000000"/>
          <w:sz w:val="20"/>
          <w:szCs w:val="20"/>
          <w:lang w:eastAsia="en-US"/>
        </w:rPr>
      </w:pPr>
      <w:r w:rsidRPr="0066588D">
        <w:rPr>
          <w:b/>
          <w:bCs/>
          <w:color w:val="000000"/>
          <w:sz w:val="20"/>
          <w:szCs w:val="20"/>
          <w:lang w:eastAsia="en-US"/>
        </w:rPr>
        <w:t>9</w:t>
      </w:r>
      <w:r w:rsidR="000468D6" w:rsidRPr="0066588D">
        <w:rPr>
          <w:b/>
          <w:bCs/>
          <w:color w:val="000000"/>
          <w:sz w:val="20"/>
          <w:szCs w:val="20"/>
          <w:lang w:eastAsia="en-US"/>
        </w:rPr>
        <w:t>.pielikums</w:t>
      </w:r>
    </w:p>
    <w:p w14:paraId="7562893D" w14:textId="77777777" w:rsidR="00B447DB" w:rsidRPr="00B77C96" w:rsidRDefault="00B447DB" w:rsidP="00B447DB">
      <w:pPr>
        <w:jc w:val="right"/>
        <w:rPr>
          <w:rFonts w:eastAsia="Calibri"/>
          <w:sz w:val="20"/>
          <w:szCs w:val="20"/>
        </w:rPr>
      </w:pPr>
      <w:r w:rsidRPr="00B77C96">
        <w:rPr>
          <w:rFonts w:eastAsia="Calibri"/>
          <w:sz w:val="20"/>
          <w:szCs w:val="20"/>
        </w:rPr>
        <w:t xml:space="preserve">Atklātā iepirkuma “Būvprojekta izstrāde un autoruzraudzība objektam </w:t>
      </w:r>
    </w:p>
    <w:p w14:paraId="6037F14E" w14:textId="77777777" w:rsidR="00B447DB" w:rsidRPr="00B77C96" w:rsidRDefault="00B447DB" w:rsidP="00B447DB">
      <w:pPr>
        <w:jc w:val="right"/>
        <w:rPr>
          <w:color w:val="000000"/>
          <w:sz w:val="20"/>
          <w:szCs w:val="20"/>
        </w:rPr>
      </w:pPr>
      <w:r w:rsidRPr="00B77C96">
        <w:rPr>
          <w:rFonts w:eastAsia="Calibri"/>
          <w:sz w:val="20"/>
          <w:szCs w:val="20"/>
        </w:rPr>
        <w:t>“Vētras poleru izbūve Ventspils brīvostas piestātnē Nr.16”</w:t>
      </w:r>
      <w:r w:rsidRPr="00B77C96">
        <w:rPr>
          <w:color w:val="000000"/>
          <w:sz w:val="20"/>
          <w:szCs w:val="20"/>
        </w:rPr>
        <w:t xml:space="preserve">” nolikumam, </w:t>
      </w:r>
    </w:p>
    <w:p w14:paraId="5D312FC0" w14:textId="66A8EBEC" w:rsidR="00B447DB" w:rsidRPr="00B77C96" w:rsidRDefault="00B447DB" w:rsidP="00B447DB">
      <w:pPr>
        <w:jc w:val="right"/>
        <w:rPr>
          <w:rFonts w:eastAsia="Calibri"/>
          <w:sz w:val="20"/>
          <w:szCs w:val="20"/>
        </w:rPr>
      </w:pPr>
      <w:r w:rsidRPr="00B77C96">
        <w:rPr>
          <w:color w:val="000000"/>
          <w:sz w:val="20"/>
          <w:szCs w:val="20"/>
        </w:rPr>
        <w:t>identifikācijas Nr. VBOP 2022/</w:t>
      </w:r>
      <w:r w:rsidR="00ED14B2">
        <w:rPr>
          <w:color w:val="000000"/>
          <w:sz w:val="20"/>
          <w:szCs w:val="20"/>
        </w:rPr>
        <w:t>19</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0D0F" w:rsidRDefault="00DC7632" w:rsidP="00DC7632">
      <w:pPr>
        <w:rPr>
          <w:b/>
        </w:rPr>
      </w:pPr>
      <w:r w:rsidRPr="003D0D0F">
        <w:rPr>
          <w:b/>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13A617B6" w:rsidR="000A38AE" w:rsidRPr="00B61BA8" w:rsidRDefault="000A38AE" w:rsidP="000A38AE">
      <w:pPr>
        <w:jc w:val="center"/>
      </w:pPr>
      <w:r w:rsidRPr="00B61BA8">
        <w:t xml:space="preserve">Iepirkuma identifikācijas Nr.: </w:t>
      </w:r>
      <w:r w:rsidR="002A4943" w:rsidRPr="00B61BA8">
        <w:t>VBOP 202</w:t>
      </w:r>
      <w:r w:rsidR="004963A4">
        <w:t>2</w:t>
      </w:r>
      <w:r w:rsidR="002A4943" w:rsidRPr="00B61BA8">
        <w:t>/</w:t>
      </w:r>
      <w:r w:rsidR="00ED14B2">
        <w:t>19</w:t>
      </w:r>
    </w:p>
    <w:p w14:paraId="49FAF65E" w14:textId="77777777" w:rsidR="00CB5801" w:rsidRDefault="00CB5801" w:rsidP="000A38AE"/>
    <w:p w14:paraId="3C3EF65F" w14:textId="77777777" w:rsidR="00B306B6" w:rsidRPr="00B61BA8" w:rsidRDefault="00B306B6" w:rsidP="000A38AE"/>
    <w:p w14:paraId="3BCA4765" w14:textId="1DB0FD4D" w:rsidR="000A38AE" w:rsidRPr="00B61BA8" w:rsidRDefault="00FF08E1" w:rsidP="000A38AE">
      <w:r w:rsidRPr="00B61BA8">
        <w:t>Ventspilī</w:t>
      </w:r>
      <w:r w:rsidR="002A4943" w:rsidRPr="00B61BA8">
        <w:t>, 202</w:t>
      </w:r>
      <w:r w:rsidR="00B66930">
        <w:t>2</w:t>
      </w:r>
      <w:r w:rsidR="000A38AE" w:rsidRPr="00B61BA8">
        <w:t>.gada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14A17734"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B66930">
        <w:t>2</w:t>
      </w:r>
      <w:r w:rsidR="00134ED8" w:rsidRPr="00B61BA8">
        <w:t>/</w:t>
      </w:r>
      <w:r w:rsidR="00ED14B2">
        <w:t>19</w:t>
      </w:r>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C84D5A"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14EC2D77" w:rsidR="000A38AE" w:rsidRPr="008407BD" w:rsidRDefault="000A38AE" w:rsidP="00F60E8A">
      <w:pPr>
        <w:pStyle w:val="Virsraksts11"/>
        <w:keepNext w:val="0"/>
        <w:numPr>
          <w:ilvl w:val="1"/>
          <w:numId w:val="1"/>
        </w:numPr>
        <w:tabs>
          <w:tab w:val="clear" w:pos="420"/>
        </w:tabs>
        <w:ind w:left="567" w:right="45" w:hanging="567"/>
        <w:rPr>
          <w:b/>
          <w:bCs/>
          <w:sz w:val="24"/>
          <w:szCs w:val="24"/>
        </w:rPr>
      </w:pPr>
      <w:r w:rsidRPr="00C84D5A">
        <w:rPr>
          <w:color w:val="000000"/>
          <w:sz w:val="24"/>
          <w:szCs w:val="24"/>
        </w:rPr>
        <w:t xml:space="preserve">Pasūtītājs uzdod, un </w:t>
      </w:r>
      <w:r w:rsidR="00337415" w:rsidRPr="00C84D5A">
        <w:rPr>
          <w:color w:val="000000"/>
          <w:sz w:val="24"/>
          <w:szCs w:val="24"/>
        </w:rPr>
        <w:t>Izpildītājs</w:t>
      </w:r>
      <w:r w:rsidRPr="00C84D5A">
        <w:rPr>
          <w:color w:val="000000"/>
          <w:sz w:val="24"/>
          <w:szCs w:val="24"/>
        </w:rPr>
        <w:t xml:space="preserve"> apņemas veikt autoruzraudzību būvobjektam</w:t>
      </w:r>
      <w:r w:rsidR="00ED269D" w:rsidRPr="00C84D5A">
        <w:rPr>
          <w:sz w:val="24"/>
          <w:szCs w:val="24"/>
        </w:rPr>
        <w:t xml:space="preserve"> “</w:t>
      </w:r>
      <w:r w:rsidR="00B447DB">
        <w:rPr>
          <w:sz w:val="24"/>
          <w:szCs w:val="24"/>
        </w:rPr>
        <w:t xml:space="preserve">Vētras poleru izbūve </w:t>
      </w:r>
      <w:r w:rsidR="00B66930">
        <w:rPr>
          <w:sz w:val="24"/>
          <w:szCs w:val="24"/>
        </w:rPr>
        <w:t>Ventspils brīvostas piestātnē Nr.16</w:t>
      </w:r>
      <w:r w:rsidR="00ED269D" w:rsidRPr="008407BD">
        <w:rPr>
          <w:sz w:val="24"/>
          <w:szCs w:val="24"/>
        </w:rPr>
        <w:t>”</w:t>
      </w:r>
      <w:r w:rsidRPr="008407BD">
        <w:rPr>
          <w:sz w:val="24"/>
          <w:szCs w:val="24"/>
        </w:rPr>
        <w:t xml:space="preserve">, </w:t>
      </w:r>
      <w:r w:rsidRPr="008407BD">
        <w:rPr>
          <w:color w:val="000000"/>
          <w:sz w:val="24"/>
          <w:szCs w:val="24"/>
        </w:rPr>
        <w:t xml:space="preserve">turpmāk </w:t>
      </w:r>
      <w:r w:rsidR="00B33160" w:rsidRPr="008407BD">
        <w:rPr>
          <w:color w:val="000000"/>
          <w:sz w:val="24"/>
          <w:szCs w:val="24"/>
        </w:rPr>
        <w:t>–</w:t>
      </w:r>
      <w:r w:rsidRPr="008407BD">
        <w:rPr>
          <w:color w:val="000000"/>
          <w:sz w:val="24"/>
          <w:szCs w:val="24"/>
        </w:rPr>
        <w:t xml:space="preserve"> Objekts,</w:t>
      </w:r>
      <w:r w:rsidR="00B33160" w:rsidRPr="008407BD">
        <w:rPr>
          <w:color w:val="000000"/>
          <w:sz w:val="24"/>
          <w:szCs w:val="24"/>
        </w:rPr>
        <w:t xml:space="preserve"> sas</w:t>
      </w:r>
      <w:r w:rsidR="00B33160" w:rsidRPr="0066588D">
        <w:rPr>
          <w:color w:val="000000"/>
          <w:sz w:val="24"/>
          <w:szCs w:val="24"/>
        </w:rPr>
        <w:t>kaņā ar būvprojektu “</w:t>
      </w:r>
      <w:r w:rsidR="00B447DB">
        <w:rPr>
          <w:color w:val="000000"/>
          <w:sz w:val="24"/>
          <w:szCs w:val="24"/>
        </w:rPr>
        <w:t xml:space="preserve">Vētras poleru izbūve </w:t>
      </w:r>
      <w:r w:rsidR="00E91497" w:rsidRPr="00E91497">
        <w:rPr>
          <w:sz w:val="24"/>
          <w:szCs w:val="24"/>
        </w:rPr>
        <w:t>Ventspils brīvostas piestāt</w:t>
      </w:r>
      <w:r w:rsidR="00B66930">
        <w:rPr>
          <w:sz w:val="24"/>
          <w:szCs w:val="24"/>
        </w:rPr>
        <w:t>nē</w:t>
      </w:r>
      <w:r w:rsidR="00E91497" w:rsidRPr="00E91497">
        <w:rPr>
          <w:sz w:val="24"/>
          <w:szCs w:val="24"/>
        </w:rPr>
        <w:t xml:space="preserve"> Nr.</w:t>
      </w:r>
      <w:r w:rsidR="00B66930">
        <w:rPr>
          <w:sz w:val="24"/>
          <w:szCs w:val="24"/>
        </w:rPr>
        <w:t>1</w:t>
      </w:r>
      <w:r w:rsidR="00E91497" w:rsidRPr="00E91497">
        <w:rPr>
          <w:sz w:val="24"/>
          <w:szCs w:val="24"/>
        </w:rPr>
        <w:t>6</w:t>
      </w:r>
      <w:r w:rsidRPr="0066588D">
        <w:rPr>
          <w:sz w:val="24"/>
          <w:szCs w:val="24"/>
        </w:rPr>
        <w:t>”</w:t>
      </w:r>
      <w:r w:rsidR="00F60E8A" w:rsidRPr="008407BD">
        <w:rPr>
          <w:sz w:val="24"/>
          <w:szCs w:val="24"/>
        </w:rPr>
        <w:t xml:space="preserve"> (</w:t>
      </w:r>
      <w:r w:rsidR="00F60E8A" w:rsidRPr="008407BD">
        <w:rPr>
          <w:color w:val="000000"/>
          <w:sz w:val="24"/>
          <w:szCs w:val="24"/>
        </w:rPr>
        <w:t>turpmāk – Būvprojekts)</w:t>
      </w:r>
      <w:r w:rsidRPr="008407BD">
        <w:rPr>
          <w:color w:val="000000"/>
          <w:sz w:val="24"/>
          <w:szCs w:val="24"/>
        </w:rPr>
        <w:t>, kas akceptēts Ventspils pilsētas domes Arhitektūras un pilsētbūvn</w:t>
      </w:r>
      <w:r w:rsidR="00F60E8A" w:rsidRPr="008407BD">
        <w:rPr>
          <w:color w:val="000000"/>
          <w:sz w:val="24"/>
          <w:szCs w:val="24"/>
        </w:rPr>
        <w:t>iecības nodaļā (turpmāk – APN),</w:t>
      </w:r>
      <w:r w:rsidRPr="008407BD">
        <w:rPr>
          <w:color w:val="000000"/>
          <w:sz w:val="24"/>
          <w:szCs w:val="24"/>
        </w:rPr>
        <w:t xml:space="preserve"> un saskaņā ar Līguma pielikumos noteikt</w:t>
      </w:r>
      <w:r w:rsidR="00F60E8A" w:rsidRPr="008407BD">
        <w:rPr>
          <w:color w:val="000000"/>
          <w:sz w:val="24"/>
          <w:szCs w:val="24"/>
        </w:rPr>
        <w:t xml:space="preserve">o, turpmāk arī – </w:t>
      </w:r>
      <w:r w:rsidRPr="008407BD">
        <w:rPr>
          <w:color w:val="000000"/>
          <w:sz w:val="24"/>
          <w:szCs w:val="24"/>
        </w:rPr>
        <w:t>Darbs.</w:t>
      </w:r>
    </w:p>
    <w:p w14:paraId="5FFD4253" w14:textId="77777777" w:rsidR="00F60E8A" w:rsidRPr="008407BD" w:rsidRDefault="000A38AE" w:rsidP="00F60E8A">
      <w:pPr>
        <w:pStyle w:val="Virsraksts11"/>
        <w:keepNext w:val="0"/>
        <w:numPr>
          <w:ilvl w:val="1"/>
          <w:numId w:val="1"/>
        </w:numPr>
        <w:tabs>
          <w:tab w:val="clear" w:pos="420"/>
        </w:tabs>
        <w:ind w:left="567" w:right="45" w:hanging="567"/>
        <w:rPr>
          <w:b/>
          <w:bCs/>
          <w:sz w:val="24"/>
          <w:szCs w:val="24"/>
        </w:rPr>
      </w:pPr>
      <w:r w:rsidRPr="008407BD">
        <w:rPr>
          <w:color w:val="000000" w:themeColor="text1"/>
          <w:sz w:val="24"/>
          <w:szCs w:val="24"/>
          <w:lang w:eastAsia="en-US"/>
        </w:rPr>
        <w:t xml:space="preserve">Autoruzraudzības mērķis ir nodrošināt Izpildītāja </w:t>
      </w:r>
      <w:r w:rsidRPr="008407BD">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8407BD">
        <w:rPr>
          <w:color w:val="000000" w:themeColor="text1"/>
          <w:sz w:val="24"/>
          <w:szCs w:val="24"/>
          <w:lang w:eastAsia="en-US"/>
        </w:rPr>
        <w:t xml:space="preserve">nepieļaujot būvniecības dalībnieku patvaļīgas atkāpes no </w:t>
      </w:r>
      <w:r w:rsidRPr="008407BD">
        <w:rPr>
          <w:color w:val="000000" w:themeColor="text1"/>
          <w:sz w:val="24"/>
          <w:szCs w:val="24"/>
          <w:shd w:val="clear" w:color="auto" w:fill="FFFFFF"/>
        </w:rPr>
        <w:t>izstrādātā</w:t>
      </w:r>
      <w:r w:rsidRPr="008407BD">
        <w:rPr>
          <w:rStyle w:val="apple-converted-space"/>
          <w:rFonts w:eastAsiaTheme="majorEastAsia"/>
          <w:color w:val="000000" w:themeColor="text1"/>
          <w:sz w:val="24"/>
          <w:szCs w:val="24"/>
          <w:shd w:val="clear" w:color="auto" w:fill="FFFFFF"/>
        </w:rPr>
        <w:t> </w:t>
      </w:r>
      <w:r w:rsidRPr="008407BD" w:rsidDel="00EA021D">
        <w:rPr>
          <w:color w:val="000000" w:themeColor="text1"/>
          <w:sz w:val="24"/>
          <w:szCs w:val="24"/>
          <w:lang w:eastAsia="en-US"/>
        </w:rPr>
        <w:t xml:space="preserve"> </w:t>
      </w:r>
      <w:r w:rsidRPr="008407BD">
        <w:rPr>
          <w:color w:val="000000" w:themeColor="text1"/>
          <w:sz w:val="24"/>
          <w:szCs w:val="24"/>
          <w:lang w:eastAsia="en-US"/>
        </w:rPr>
        <w:t xml:space="preserve">Būvprojekta, kā arī normatīvo </w:t>
      </w:r>
      <w:r w:rsidR="00B76B3C" w:rsidRPr="008407BD">
        <w:rPr>
          <w:sz w:val="24"/>
          <w:szCs w:val="24"/>
          <w:lang w:eastAsia="en-US"/>
        </w:rPr>
        <w:t>aktu un standartu pārkāpumus b</w:t>
      </w:r>
      <w:r w:rsidRPr="008407BD">
        <w:rPr>
          <w:sz w:val="24"/>
          <w:szCs w:val="24"/>
          <w:lang w:eastAsia="en-US"/>
        </w:rPr>
        <w:t>ūvdarbu gaitā.</w:t>
      </w:r>
    </w:p>
    <w:p w14:paraId="1A194A55" w14:textId="32BD150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8407BD">
        <w:rPr>
          <w:sz w:val="24"/>
          <w:szCs w:val="24"/>
        </w:rPr>
        <w:t>Izpildītājs</w:t>
      </w:r>
      <w:r w:rsidR="000A38AE" w:rsidRPr="008407BD">
        <w:rPr>
          <w:sz w:val="24"/>
          <w:szCs w:val="24"/>
        </w:rPr>
        <w:t xml:space="preserve"> Darbu veic, ievērojot normatīvo aktu prasības, tai skaitā, Būvniecības likumu, Ministru kabineta 2014.gada 19.augusta noteikumus Nr.500 “Vispārīgie būvno</w:t>
      </w:r>
      <w:r w:rsidR="00297872" w:rsidRPr="008407BD">
        <w:rPr>
          <w:sz w:val="24"/>
          <w:szCs w:val="24"/>
        </w:rPr>
        <w:t>teikumi”, Ministru kabineta 201</w:t>
      </w:r>
      <w:r w:rsidR="001214BE" w:rsidRPr="008407BD">
        <w:rPr>
          <w:sz w:val="24"/>
          <w:szCs w:val="24"/>
        </w:rPr>
        <w:t>7</w:t>
      </w:r>
      <w:r w:rsidR="000A38AE" w:rsidRPr="008407BD">
        <w:rPr>
          <w:sz w:val="24"/>
          <w:szCs w:val="24"/>
        </w:rPr>
        <w:t xml:space="preserve">.gada </w:t>
      </w:r>
      <w:r w:rsidR="001214BE" w:rsidRPr="008407BD">
        <w:rPr>
          <w:sz w:val="24"/>
          <w:szCs w:val="24"/>
        </w:rPr>
        <w:t>9</w:t>
      </w:r>
      <w:r w:rsidR="00297872" w:rsidRPr="008407BD">
        <w:rPr>
          <w:sz w:val="24"/>
          <w:szCs w:val="24"/>
        </w:rPr>
        <w:t>.</w:t>
      </w:r>
      <w:r w:rsidR="001214BE" w:rsidRPr="008407BD">
        <w:rPr>
          <w:sz w:val="24"/>
          <w:szCs w:val="24"/>
        </w:rPr>
        <w:t xml:space="preserve">maija </w:t>
      </w:r>
      <w:r w:rsidR="000A38AE" w:rsidRPr="008407BD">
        <w:rPr>
          <w:sz w:val="24"/>
          <w:szCs w:val="24"/>
        </w:rPr>
        <w:t xml:space="preserve">noteikumus </w:t>
      </w:r>
      <w:r w:rsidR="00F60E8A" w:rsidRPr="008407BD">
        <w:rPr>
          <w:sz w:val="24"/>
          <w:szCs w:val="24"/>
        </w:rPr>
        <w:t>Nr.</w:t>
      </w:r>
      <w:r w:rsidR="001214BE" w:rsidRPr="008407BD">
        <w:rPr>
          <w:sz w:val="24"/>
          <w:szCs w:val="24"/>
        </w:rPr>
        <w:t>253</w:t>
      </w:r>
      <w:r w:rsidR="00F60E8A" w:rsidRPr="008407BD">
        <w:rPr>
          <w:sz w:val="24"/>
          <w:szCs w:val="24"/>
        </w:rPr>
        <w:t xml:space="preserve"> “</w:t>
      </w:r>
      <w:r w:rsidR="001214BE" w:rsidRPr="008407BD">
        <w:rPr>
          <w:sz w:val="24"/>
          <w:szCs w:val="24"/>
        </w:rPr>
        <w:t xml:space="preserve">Atsevišķu inženierbūvju </w:t>
      </w:r>
      <w:r w:rsidR="00297872" w:rsidRPr="008407BD">
        <w:rPr>
          <w:sz w:val="24"/>
          <w:szCs w:val="24"/>
        </w:rPr>
        <w:t>būvnoteikumi</w:t>
      </w:r>
      <w:r w:rsidR="000A38AE" w:rsidRPr="008407BD">
        <w:rPr>
          <w:sz w:val="24"/>
          <w:szCs w:val="24"/>
        </w:rPr>
        <w:t>” un citus aktuālos normatīvos</w:t>
      </w:r>
      <w:r w:rsidR="000A38AE" w:rsidRPr="00B61BA8">
        <w:rPr>
          <w:sz w:val="24"/>
          <w:szCs w:val="24"/>
        </w:rPr>
        <w:t xml:space="preserve">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428BCE86"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w:t>
      </w:r>
      <w:r w:rsidRPr="00B447DB">
        <w:rPr>
          <w:sz w:val="24"/>
          <w:szCs w:val="24"/>
        </w:rPr>
        <w:t xml:space="preserve">retāk kā 1 reizi </w:t>
      </w:r>
      <w:r w:rsidR="00B447DB" w:rsidRPr="00B447DB">
        <w:rPr>
          <w:sz w:val="24"/>
          <w:szCs w:val="24"/>
        </w:rPr>
        <w:t>mēnesī</w:t>
      </w:r>
      <w:r w:rsidRPr="00B61BA8">
        <w:rPr>
          <w:sz w:val="24"/>
          <w:szCs w:val="24"/>
        </w:rPr>
        <w:t xml:space="preserve">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0" w:name="_Ref389055651"/>
      <w:r w:rsidRPr="00B61BA8">
        <w:rPr>
          <w:sz w:val="24"/>
          <w:szCs w:val="24"/>
        </w:rPr>
        <w:lastRenderedPageBreak/>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0"/>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F9B986C" w:rsidR="000A38AE"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0AF8947C" w14:textId="77777777" w:rsidR="00B447DB" w:rsidRPr="00B61BA8" w:rsidRDefault="00B447DB" w:rsidP="00B447DB">
      <w:pPr>
        <w:numPr>
          <w:ilvl w:val="1"/>
          <w:numId w:val="1"/>
        </w:numPr>
        <w:tabs>
          <w:tab w:val="clear" w:pos="420"/>
        </w:tabs>
        <w:ind w:left="567" w:hanging="567"/>
        <w:jc w:val="both"/>
      </w:pPr>
      <w:r w:rsidRPr="00B61BA8">
        <w:t>Plānotais būvdarbu izpildes termiņš</w:t>
      </w:r>
      <w:r>
        <w:t xml:space="preserve"> </w:t>
      </w:r>
      <w:r w:rsidRPr="000F5764">
        <w:t xml:space="preserve">– </w:t>
      </w:r>
      <w:r>
        <w:t>60</w:t>
      </w:r>
      <w:r w:rsidRPr="000F5764">
        <w:t xml:space="preserve"> (</w:t>
      </w:r>
      <w:r>
        <w:t xml:space="preserve">sešdesmit) </w:t>
      </w:r>
      <w:r w:rsidRPr="000F5764">
        <w:t>kalendārās dienas no būvdarbu uzsākšanas dienas, neskaitot tehnoloģisko pārtraukumu.</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10354168" w14:textId="4FF7660C" w:rsidR="00730E33" w:rsidRPr="000F5764" w:rsidRDefault="00730E33" w:rsidP="00AA28BC">
      <w:pPr>
        <w:numPr>
          <w:ilvl w:val="1"/>
          <w:numId w:val="1"/>
        </w:numPr>
        <w:tabs>
          <w:tab w:val="clear" w:pos="420"/>
        </w:tabs>
        <w:ind w:left="540" w:hanging="540"/>
        <w:jc w:val="both"/>
      </w:pPr>
      <w:bookmarkStart w:id="1" w:name="_Hlk70461603"/>
      <w:r w:rsidRPr="00B61BA8">
        <w:t xml:space="preserve">Līguma summa ir </w:t>
      </w:r>
      <w:r w:rsidRPr="00B61BA8">
        <w:rPr>
          <w:i/>
        </w:rPr>
        <w:t>&lt;summa ar cipariem&gt;</w:t>
      </w:r>
      <w:r w:rsidRPr="00B61BA8">
        <w:t xml:space="preserve"> EUR (</w:t>
      </w:r>
      <w:r w:rsidRPr="00B61BA8">
        <w:rPr>
          <w:i/>
        </w:rPr>
        <w:t>&lt;summa ar vārdiem&gt;</w:t>
      </w:r>
      <w:r w:rsidRPr="00B61BA8">
        <w:t>)</w:t>
      </w:r>
      <w:r w:rsidRPr="00B61BA8">
        <w:rPr>
          <w:i/>
        </w:rPr>
        <w:t>,</w:t>
      </w:r>
      <w:r w:rsidRPr="00B61BA8">
        <w:t xml:space="preserve"> PVN </w:t>
      </w:r>
      <w:r w:rsidRPr="00B61BA8">
        <w:rPr>
          <w:i/>
        </w:rPr>
        <w:t xml:space="preserve">&lt;procentu </w:t>
      </w:r>
      <w:r w:rsidRPr="000F5764">
        <w:rPr>
          <w:i/>
        </w:rPr>
        <w:t>likme&gt;</w:t>
      </w:r>
      <w:r w:rsidRPr="000F5764">
        <w:t xml:space="preserve">% ir </w:t>
      </w:r>
      <w:r w:rsidRPr="000F5764">
        <w:rPr>
          <w:i/>
        </w:rPr>
        <w:t>&lt;summa ar cipariem&gt;</w:t>
      </w:r>
      <w:r w:rsidRPr="000F5764">
        <w:t xml:space="preserve"> EUR (</w:t>
      </w:r>
      <w:r w:rsidRPr="000F5764">
        <w:rPr>
          <w:i/>
        </w:rPr>
        <w:t>&lt;summa ar vārdiem&gt;</w:t>
      </w:r>
      <w:r w:rsidRPr="000F5764">
        <w:t xml:space="preserve">). Līguma kopējā summa ar PVN ir </w:t>
      </w:r>
      <w:r w:rsidRPr="000F5764">
        <w:rPr>
          <w:i/>
        </w:rPr>
        <w:t>&lt;summa ar cipariem&gt;</w:t>
      </w:r>
      <w:r w:rsidRPr="000F5764">
        <w:t xml:space="preserve"> EUR (</w:t>
      </w:r>
      <w:r w:rsidRPr="000F5764">
        <w:rPr>
          <w:i/>
        </w:rPr>
        <w:t>&lt;summa ar vārdiem&gt;</w:t>
      </w:r>
      <w:r w:rsidRPr="000F5764">
        <w:t>).</w:t>
      </w:r>
      <w:bookmarkEnd w:id="1"/>
    </w:p>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2"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2"/>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nosūta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tītājs 5 (piecu) darba dienu laikā nav parakstījis 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lastRenderedPageBreak/>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apsekojuma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34D4BE61"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 xml:space="preserve">erasties Objektā regulāri, ne retāk kā 1 vienu reizi </w:t>
      </w:r>
      <w:r w:rsidR="00CB4D0B">
        <w:t>mēnesī</w:t>
      </w:r>
      <w:r w:rsidR="000A38AE" w:rsidRPr="00B61BA8">
        <w:t xml:space="preserve">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lastRenderedPageBreak/>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lastRenderedPageBreak/>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w:t>
      </w:r>
      <w:r w:rsidRPr="00B61BA8">
        <w:lastRenderedPageBreak/>
        <w:t>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lastRenderedPageBreak/>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1956C03F"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 xml:space="preserve">pārstāvjiem būs </w:t>
      </w:r>
      <w:r w:rsidR="00730E33">
        <w:rPr>
          <w:bCs/>
          <w:color w:val="000000"/>
          <w:sz w:val="24"/>
          <w:szCs w:val="24"/>
        </w:rPr>
        <w:t>N.Zariņš</w:t>
      </w:r>
      <w:r w:rsidR="00567B3E">
        <w:rPr>
          <w:bCs/>
          <w:color w:val="000000"/>
          <w:sz w:val="24"/>
          <w:szCs w:val="24"/>
        </w:rPr>
        <w:t xml:space="preserve">, tālr. </w:t>
      </w:r>
      <w:r w:rsidR="00730E33">
        <w:rPr>
          <w:bCs/>
          <w:color w:val="000000"/>
          <w:sz w:val="24"/>
          <w:szCs w:val="24"/>
        </w:rPr>
        <w:t>29188684</w:t>
      </w:r>
      <w:r w:rsidRPr="00B61BA8">
        <w:rPr>
          <w:bCs/>
          <w:color w:val="000000"/>
          <w:sz w:val="24"/>
          <w:szCs w:val="24"/>
        </w:rPr>
        <w:t xml:space="preserve">, </w:t>
      </w:r>
      <w:r w:rsidR="00567B3E">
        <w:rPr>
          <w:bCs/>
          <w:color w:val="000000"/>
          <w:sz w:val="24"/>
          <w:szCs w:val="24"/>
        </w:rPr>
        <w:t xml:space="preserve">e-pasts: </w:t>
      </w:r>
      <w:r w:rsidR="00730E33">
        <w:rPr>
          <w:bCs/>
          <w:color w:val="000000"/>
          <w:sz w:val="24"/>
          <w:szCs w:val="24"/>
        </w:rPr>
        <w:t>nauris.zarins@vbp.lv</w:t>
      </w:r>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rakstveidā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lastRenderedPageBreak/>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“Luminor Bank”</w:t>
                  </w:r>
                </w:p>
                <w:p w14:paraId="30A8B6CF" w14:textId="30FC85B0" w:rsidR="00770357" w:rsidRPr="005956A3" w:rsidRDefault="00770357" w:rsidP="00484D86">
                  <w:r w:rsidRPr="005956A3">
                    <w:t xml:space="preserve">Bankas kods </w:t>
                  </w:r>
                  <w:r w:rsidR="00C34FD0">
                    <w:t>RIKOLV2X</w:t>
                  </w:r>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r>
                    <w:t>A.Purmalis</w:t>
                  </w:r>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B39D" w14:textId="77777777" w:rsidR="007319F4" w:rsidRDefault="007319F4" w:rsidP="00FF08E1">
      <w:r>
        <w:separator/>
      </w:r>
    </w:p>
  </w:endnote>
  <w:endnote w:type="continuationSeparator" w:id="0">
    <w:p w14:paraId="191B6FD8" w14:textId="77777777" w:rsidR="007319F4" w:rsidRDefault="007319F4"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AB66" w14:textId="77777777" w:rsidR="007319F4" w:rsidRDefault="007319F4" w:rsidP="00FF08E1">
      <w:r>
        <w:separator/>
      </w:r>
    </w:p>
  </w:footnote>
  <w:footnote w:type="continuationSeparator" w:id="0">
    <w:p w14:paraId="25B5FD14" w14:textId="77777777" w:rsidR="007319F4" w:rsidRDefault="007319F4"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25665"/>
    <w:rsid w:val="00035FFB"/>
    <w:rsid w:val="000468D6"/>
    <w:rsid w:val="000A38AE"/>
    <w:rsid w:val="000F2B42"/>
    <w:rsid w:val="000F5764"/>
    <w:rsid w:val="001214BE"/>
    <w:rsid w:val="00127A90"/>
    <w:rsid w:val="00134ED8"/>
    <w:rsid w:val="001567E5"/>
    <w:rsid w:val="00161FE3"/>
    <w:rsid w:val="00170390"/>
    <w:rsid w:val="00190DB9"/>
    <w:rsid w:val="001957F0"/>
    <w:rsid w:val="0019725B"/>
    <w:rsid w:val="001D469C"/>
    <w:rsid w:val="0021778A"/>
    <w:rsid w:val="00255A96"/>
    <w:rsid w:val="0026352C"/>
    <w:rsid w:val="00297872"/>
    <w:rsid w:val="002A2FB1"/>
    <w:rsid w:val="002A4943"/>
    <w:rsid w:val="002F4F85"/>
    <w:rsid w:val="002F6B2B"/>
    <w:rsid w:val="0033553E"/>
    <w:rsid w:val="00337415"/>
    <w:rsid w:val="00374C46"/>
    <w:rsid w:val="003A4B77"/>
    <w:rsid w:val="003B6232"/>
    <w:rsid w:val="003C4A67"/>
    <w:rsid w:val="003D0D0F"/>
    <w:rsid w:val="003D496C"/>
    <w:rsid w:val="003E761C"/>
    <w:rsid w:val="004445AC"/>
    <w:rsid w:val="004514A9"/>
    <w:rsid w:val="00482BE0"/>
    <w:rsid w:val="004963A4"/>
    <w:rsid w:val="0049760A"/>
    <w:rsid w:val="004C52DD"/>
    <w:rsid w:val="00500C06"/>
    <w:rsid w:val="005046F9"/>
    <w:rsid w:val="005218E1"/>
    <w:rsid w:val="00527747"/>
    <w:rsid w:val="00564EC4"/>
    <w:rsid w:val="00567B3E"/>
    <w:rsid w:val="00587FE6"/>
    <w:rsid w:val="005A2756"/>
    <w:rsid w:val="005B4CA1"/>
    <w:rsid w:val="005F2C0F"/>
    <w:rsid w:val="006043C2"/>
    <w:rsid w:val="00615104"/>
    <w:rsid w:val="006220D5"/>
    <w:rsid w:val="0066588D"/>
    <w:rsid w:val="00685599"/>
    <w:rsid w:val="0069363E"/>
    <w:rsid w:val="007240AF"/>
    <w:rsid w:val="00730E33"/>
    <w:rsid w:val="007319F4"/>
    <w:rsid w:val="00770357"/>
    <w:rsid w:val="00825132"/>
    <w:rsid w:val="00836E60"/>
    <w:rsid w:val="008407BD"/>
    <w:rsid w:val="00890792"/>
    <w:rsid w:val="008976B5"/>
    <w:rsid w:val="008A039A"/>
    <w:rsid w:val="008A2D04"/>
    <w:rsid w:val="008F2395"/>
    <w:rsid w:val="008F6E7D"/>
    <w:rsid w:val="0090065D"/>
    <w:rsid w:val="009072AB"/>
    <w:rsid w:val="00912A10"/>
    <w:rsid w:val="00965706"/>
    <w:rsid w:val="00994A5F"/>
    <w:rsid w:val="009F61C2"/>
    <w:rsid w:val="00A0419B"/>
    <w:rsid w:val="00A04D04"/>
    <w:rsid w:val="00A20A11"/>
    <w:rsid w:val="00A26F7C"/>
    <w:rsid w:val="00A54402"/>
    <w:rsid w:val="00A550DA"/>
    <w:rsid w:val="00A56B50"/>
    <w:rsid w:val="00A638A7"/>
    <w:rsid w:val="00A72BBF"/>
    <w:rsid w:val="00A75D0D"/>
    <w:rsid w:val="00A827DA"/>
    <w:rsid w:val="00A84A0D"/>
    <w:rsid w:val="00AA28BC"/>
    <w:rsid w:val="00AA2E82"/>
    <w:rsid w:val="00AB1558"/>
    <w:rsid w:val="00AB31EC"/>
    <w:rsid w:val="00AD1485"/>
    <w:rsid w:val="00AD189E"/>
    <w:rsid w:val="00B3003E"/>
    <w:rsid w:val="00B306B6"/>
    <w:rsid w:val="00B33160"/>
    <w:rsid w:val="00B331F4"/>
    <w:rsid w:val="00B447DB"/>
    <w:rsid w:val="00B51ACE"/>
    <w:rsid w:val="00B61BA8"/>
    <w:rsid w:val="00B66930"/>
    <w:rsid w:val="00B74C55"/>
    <w:rsid w:val="00B76B3C"/>
    <w:rsid w:val="00B8266F"/>
    <w:rsid w:val="00B85A10"/>
    <w:rsid w:val="00B87E4A"/>
    <w:rsid w:val="00BB3B84"/>
    <w:rsid w:val="00BB4D07"/>
    <w:rsid w:val="00C34FD0"/>
    <w:rsid w:val="00C471CB"/>
    <w:rsid w:val="00C84D5A"/>
    <w:rsid w:val="00CB4D0B"/>
    <w:rsid w:val="00CB5801"/>
    <w:rsid w:val="00CE4068"/>
    <w:rsid w:val="00D30BCD"/>
    <w:rsid w:val="00D402A7"/>
    <w:rsid w:val="00D44971"/>
    <w:rsid w:val="00D64B8E"/>
    <w:rsid w:val="00D93891"/>
    <w:rsid w:val="00DA2FA8"/>
    <w:rsid w:val="00DC7632"/>
    <w:rsid w:val="00DE4BFC"/>
    <w:rsid w:val="00E64EF6"/>
    <w:rsid w:val="00E91497"/>
    <w:rsid w:val="00EA28BC"/>
    <w:rsid w:val="00EC6E4E"/>
    <w:rsid w:val="00ED14B2"/>
    <w:rsid w:val="00ED269D"/>
    <w:rsid w:val="00F0141A"/>
    <w:rsid w:val="00F1142B"/>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character" w:styleId="UnresolvedMention">
    <w:name w:val="Unresolved Mention"/>
    <w:basedOn w:val="DefaultParagraphFont"/>
    <w:uiPriority w:val="99"/>
    <w:semiHidden/>
    <w:unhideWhenUsed/>
    <w:rsid w:val="0083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15771</Words>
  <Characters>8990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Buka-Petroviča</cp:lastModifiedBy>
  <cp:revision>93</cp:revision>
  <dcterms:created xsi:type="dcterms:W3CDTF">2017-08-23T13:20:00Z</dcterms:created>
  <dcterms:modified xsi:type="dcterms:W3CDTF">2022-03-15T11:19:00Z</dcterms:modified>
</cp:coreProperties>
</file>