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09BF" w14:textId="51B48192" w:rsidR="00FE42C0" w:rsidRPr="00FE42C0" w:rsidRDefault="00FE42C0" w:rsidP="00FE42C0">
      <w:pPr>
        <w:keepNext/>
        <w:overflowPunct w:val="0"/>
        <w:autoSpaceDE w:val="0"/>
        <w:autoSpaceDN w:val="0"/>
        <w:adjustRightInd w:val="0"/>
        <w:spacing w:after="0" w:line="240" w:lineRule="auto"/>
        <w:ind w:left="2160" w:firstLine="720"/>
        <w:jc w:val="right"/>
        <w:textAlignment w:val="baseline"/>
        <w:outlineLvl w:val="1"/>
        <w:rPr>
          <w:rFonts w:ascii="Times New Roman" w:hAnsi="Times New Roman" w:cs="Times New Roman"/>
          <w:b/>
          <w:i/>
          <w:sz w:val="20"/>
          <w:szCs w:val="20"/>
          <w:lang w:eastAsia="x-none"/>
        </w:rPr>
      </w:pPr>
      <w:r w:rsidRPr="00FE42C0">
        <w:rPr>
          <w:rFonts w:ascii="Times New Roman" w:hAnsi="Times New Roman" w:cs="Times New Roman"/>
          <w:b/>
          <w:i/>
          <w:sz w:val="20"/>
          <w:szCs w:val="20"/>
          <w:lang w:eastAsia="x-none"/>
        </w:rPr>
        <w:t>8</w:t>
      </w:r>
      <w:r w:rsidRPr="00FE42C0">
        <w:rPr>
          <w:rFonts w:ascii="Times New Roman" w:hAnsi="Times New Roman" w:cs="Times New Roman"/>
          <w:b/>
          <w:i/>
          <w:sz w:val="20"/>
          <w:szCs w:val="20"/>
          <w:lang w:eastAsia="x-none"/>
        </w:rPr>
        <w:t>.pielikums</w:t>
      </w:r>
    </w:p>
    <w:p w14:paraId="750E9696" w14:textId="77777777" w:rsidR="00FE42C0" w:rsidRPr="00FE42C0" w:rsidRDefault="00FE42C0" w:rsidP="00FE42C0">
      <w:pPr>
        <w:keepNext/>
        <w:overflowPunct w:val="0"/>
        <w:autoSpaceDE w:val="0"/>
        <w:autoSpaceDN w:val="0"/>
        <w:adjustRightInd w:val="0"/>
        <w:spacing w:after="0" w:line="240" w:lineRule="auto"/>
        <w:ind w:left="2160" w:firstLine="720"/>
        <w:jc w:val="right"/>
        <w:textAlignment w:val="baseline"/>
        <w:outlineLvl w:val="1"/>
        <w:rPr>
          <w:rFonts w:ascii="Times New Roman" w:hAnsi="Times New Roman" w:cs="Times New Roman"/>
          <w:bCs/>
          <w:i/>
          <w:sz w:val="20"/>
          <w:szCs w:val="20"/>
          <w:lang w:eastAsia="x-none"/>
        </w:rPr>
      </w:pPr>
      <w:r w:rsidRPr="00FE42C0">
        <w:rPr>
          <w:rFonts w:ascii="Times New Roman" w:hAnsi="Times New Roman" w:cs="Times New Roman"/>
          <w:bCs/>
          <w:i/>
          <w:sz w:val="20"/>
          <w:szCs w:val="20"/>
          <w:lang w:eastAsia="x-none"/>
        </w:rPr>
        <w:t>Atklāta konkursa “Vēsturiski piesārņoto ar naftas produktiem vietu Ventspilī sanācija” nolikumam,</w:t>
      </w:r>
    </w:p>
    <w:p w14:paraId="563C4B09" w14:textId="301051BE" w:rsidR="000550A3" w:rsidRPr="00FE42C0" w:rsidRDefault="00FE42C0" w:rsidP="00FE42C0">
      <w:pPr>
        <w:keepNext/>
        <w:overflowPunct w:val="0"/>
        <w:autoSpaceDE w:val="0"/>
        <w:autoSpaceDN w:val="0"/>
        <w:adjustRightInd w:val="0"/>
        <w:spacing w:after="0" w:line="240" w:lineRule="auto"/>
        <w:ind w:left="2160" w:firstLine="720"/>
        <w:jc w:val="right"/>
        <w:textAlignment w:val="baseline"/>
        <w:outlineLvl w:val="1"/>
        <w:rPr>
          <w:rFonts w:ascii="Times New Roman" w:hAnsi="Times New Roman" w:cs="Times New Roman"/>
          <w:i/>
          <w:sz w:val="20"/>
          <w:szCs w:val="20"/>
        </w:rPr>
      </w:pPr>
      <w:r w:rsidRPr="00FE42C0">
        <w:rPr>
          <w:rFonts w:ascii="Times New Roman" w:hAnsi="Times New Roman" w:cs="Times New Roman"/>
          <w:bCs/>
          <w:i/>
          <w:sz w:val="20"/>
          <w:szCs w:val="20"/>
          <w:lang w:eastAsia="x-none"/>
        </w:rPr>
        <w:t>identifikācijas Nr. VBOP 2022/</w:t>
      </w:r>
      <w:r w:rsidRPr="00FE42C0">
        <w:rPr>
          <w:rFonts w:ascii="Times New Roman" w:hAnsi="Times New Roman" w:cs="Times New Roman"/>
          <w:bCs/>
          <w:i/>
          <w:sz w:val="20"/>
          <w:szCs w:val="20"/>
          <w:lang w:eastAsia="x-none"/>
        </w:rPr>
        <w:t>45</w:t>
      </w:r>
    </w:p>
    <w:p w14:paraId="681C868D" w14:textId="77777777" w:rsidR="000550A3" w:rsidRDefault="000550A3" w:rsidP="000550A3">
      <w:pPr>
        <w:spacing w:after="0" w:line="240" w:lineRule="auto"/>
        <w:rPr>
          <w:rFonts w:ascii="Times New Roman" w:eastAsia="Times New Roman" w:hAnsi="Times New Roman" w:cs="Times New Roman"/>
          <w:b/>
          <w:sz w:val="24"/>
          <w:szCs w:val="24"/>
        </w:rPr>
      </w:pPr>
    </w:p>
    <w:p w14:paraId="2BAE3FF8" w14:textId="444DDD65" w:rsidR="007D7702" w:rsidRPr="00416D89" w:rsidRDefault="007D7702" w:rsidP="007D77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TEHNISKĀ PIEDĀVĀJUMA SAGATAVOŠANAS VADLĪNIJAS</w:t>
      </w:r>
    </w:p>
    <w:p w14:paraId="56D8D985" w14:textId="77777777" w:rsidR="007D7702" w:rsidRPr="00416D89" w:rsidRDefault="007D7702" w:rsidP="007D7702">
      <w:pPr>
        <w:spacing w:after="0" w:line="240" w:lineRule="auto"/>
        <w:ind w:right="-1"/>
        <w:jc w:val="center"/>
        <w:rPr>
          <w:rFonts w:ascii="Times New Roman" w:eastAsia="Times New Roman" w:hAnsi="Times New Roman" w:cs="Times New Roman"/>
          <w:sz w:val="24"/>
          <w:szCs w:val="24"/>
        </w:rPr>
      </w:pPr>
    </w:p>
    <w:p w14:paraId="581DA7A5" w14:textId="790F6C43" w:rsidR="007D7702" w:rsidRPr="00416D89" w:rsidRDefault="007D7702" w:rsidP="007D7702">
      <w:pPr>
        <w:spacing w:after="0" w:line="240" w:lineRule="auto"/>
        <w:ind w:right="-1"/>
        <w:jc w:val="center"/>
        <w:rPr>
          <w:rFonts w:ascii="Times New Roman" w:eastAsia="Times New Roman" w:hAnsi="Times New Roman" w:cs="Times New Roman"/>
          <w:b/>
          <w:sz w:val="24"/>
          <w:szCs w:val="24"/>
        </w:rPr>
      </w:pPr>
      <w:r w:rsidRPr="00416D89">
        <w:rPr>
          <w:rFonts w:ascii="Times New Roman" w:eastAsia="Times New Roman" w:hAnsi="Times New Roman" w:cs="Times New Roman"/>
          <w:b/>
          <w:sz w:val="24"/>
          <w:szCs w:val="24"/>
        </w:rPr>
        <w:t xml:space="preserve"> „</w:t>
      </w:r>
      <w:r w:rsidR="00637238" w:rsidRPr="00637238">
        <w:rPr>
          <w:rFonts w:ascii="Times New Roman" w:eastAsia="Times New Roman" w:hAnsi="Times New Roman" w:cs="Times New Roman"/>
          <w:b/>
          <w:sz w:val="24"/>
          <w:szCs w:val="24"/>
        </w:rPr>
        <w:t>Vēsturiski piesārņoto ar naftas produktiem vietu Ventspilī sanācija</w:t>
      </w:r>
      <w:r w:rsidRPr="00416D89">
        <w:rPr>
          <w:rFonts w:ascii="Times New Roman" w:eastAsia="Times New Roman" w:hAnsi="Times New Roman" w:cs="Times New Roman"/>
          <w:b/>
          <w:sz w:val="24"/>
          <w:szCs w:val="24"/>
        </w:rPr>
        <w:t xml:space="preserve">” </w:t>
      </w:r>
    </w:p>
    <w:p w14:paraId="04B5471A" w14:textId="77777777" w:rsidR="007D7702" w:rsidRPr="00416D89" w:rsidRDefault="007D7702" w:rsidP="007D7702">
      <w:pPr>
        <w:spacing w:after="0" w:line="240" w:lineRule="auto"/>
        <w:ind w:right="-1"/>
        <w:jc w:val="center"/>
        <w:rPr>
          <w:rFonts w:ascii="Times New Roman" w:eastAsia="Times New Roman" w:hAnsi="Times New Roman" w:cs="Times New Roman"/>
          <w:sz w:val="8"/>
          <w:szCs w:val="24"/>
        </w:rPr>
      </w:pPr>
    </w:p>
    <w:p w14:paraId="397561F9" w14:textId="767931ED" w:rsidR="007D7702" w:rsidRPr="00416D89" w:rsidRDefault="00637238" w:rsidP="007D7702">
      <w:pPr>
        <w:spacing w:after="0" w:line="240" w:lineRule="auto"/>
        <w:jc w:val="center"/>
        <w:rPr>
          <w:rFonts w:ascii="Times New Roman" w:eastAsia="Calibri" w:hAnsi="Times New Roman" w:cs="Times New Roman"/>
          <w:sz w:val="24"/>
          <w:szCs w:val="24"/>
        </w:rPr>
      </w:pPr>
      <w:r w:rsidRPr="00637238">
        <w:rPr>
          <w:rFonts w:ascii="Times New Roman" w:eastAsia="Times New Roman" w:hAnsi="Times New Roman" w:cs="Times New Roman"/>
          <w:bCs/>
          <w:sz w:val="24"/>
          <w:szCs w:val="24"/>
        </w:rPr>
        <w:t>Nr. VBOP 202</w:t>
      </w:r>
      <w:r w:rsidR="0063705C">
        <w:rPr>
          <w:rFonts w:ascii="Times New Roman" w:eastAsia="Times New Roman" w:hAnsi="Times New Roman" w:cs="Times New Roman"/>
          <w:bCs/>
          <w:sz w:val="24"/>
          <w:szCs w:val="24"/>
        </w:rPr>
        <w:t>2</w:t>
      </w:r>
      <w:r w:rsidRPr="00637238">
        <w:rPr>
          <w:rFonts w:ascii="Times New Roman" w:eastAsia="Times New Roman" w:hAnsi="Times New Roman" w:cs="Times New Roman"/>
          <w:bCs/>
          <w:sz w:val="24"/>
          <w:szCs w:val="24"/>
        </w:rPr>
        <w:t>/</w:t>
      </w:r>
      <w:r w:rsidR="000550A3">
        <w:rPr>
          <w:rFonts w:ascii="Times New Roman" w:eastAsia="Times New Roman" w:hAnsi="Times New Roman" w:cs="Times New Roman"/>
          <w:bCs/>
          <w:sz w:val="24"/>
          <w:szCs w:val="24"/>
        </w:rPr>
        <w:t>45</w:t>
      </w:r>
    </w:p>
    <w:p w14:paraId="673C69C4" w14:textId="77777777" w:rsidR="007D7702" w:rsidRPr="002C640A" w:rsidRDefault="007D7702" w:rsidP="007D7702">
      <w:pPr>
        <w:spacing w:after="0" w:line="240" w:lineRule="auto"/>
        <w:ind w:left="720"/>
        <w:jc w:val="center"/>
        <w:rPr>
          <w:rFonts w:ascii="Times New Roman" w:eastAsia="Times New Roman" w:hAnsi="Times New Roman" w:cs="Times New Roman"/>
          <w:i/>
          <w:sz w:val="24"/>
          <w:szCs w:val="24"/>
        </w:rPr>
      </w:pPr>
    </w:p>
    <w:p w14:paraId="13B27C04" w14:textId="77777777" w:rsidR="007D7702" w:rsidRPr="002C640A" w:rsidRDefault="007D7702" w:rsidP="007D7702">
      <w:pPr>
        <w:pStyle w:val="Title"/>
        <w:spacing w:after="120"/>
        <w:jc w:val="both"/>
        <w:rPr>
          <w:b w:val="0"/>
          <w:color w:val="000000" w:themeColor="text1"/>
          <w:szCs w:val="24"/>
          <w:lang w:val="lv-LV"/>
        </w:rPr>
      </w:pPr>
      <w:r w:rsidRPr="002C640A">
        <w:rPr>
          <w:b w:val="0"/>
          <w:color w:val="000000" w:themeColor="text1"/>
          <w:szCs w:val="24"/>
          <w:lang w:val="lv-LV"/>
        </w:rPr>
        <w:t xml:space="preserve">Tehniskā piedāvājuma sagatavošanas vadlīnijas ir saistošas visiem pretendentiem, sagatavojot tehnisko piedāvājumu. </w:t>
      </w:r>
    </w:p>
    <w:p w14:paraId="414C69F0" w14:textId="77777777" w:rsidR="007D7702" w:rsidRPr="002C640A" w:rsidRDefault="007D7702" w:rsidP="007D7702">
      <w:pPr>
        <w:pStyle w:val="Title"/>
        <w:spacing w:after="120"/>
        <w:jc w:val="both"/>
        <w:rPr>
          <w:b w:val="0"/>
          <w:color w:val="000000" w:themeColor="text1"/>
          <w:szCs w:val="24"/>
          <w:lang w:val="lv-LV"/>
        </w:rPr>
      </w:pPr>
      <w:r w:rsidRPr="002C640A">
        <w:rPr>
          <w:b w:val="0"/>
          <w:color w:val="000000" w:themeColor="text1"/>
          <w:szCs w:val="24"/>
          <w:lang w:val="lv-LV"/>
        </w:rPr>
        <w:t xml:space="preserve">Lai detalizēti varētu izvērtēt Piedāvājumu, Pretendentam jāiesniedz Pasūtītājam visa informācija, kas noteikta Tehniskā piedāvājuma sagatavošanas vadlīnijās. </w:t>
      </w:r>
    </w:p>
    <w:p w14:paraId="2B88F6C7" w14:textId="724BCC6C" w:rsidR="007D7702" w:rsidRPr="002C640A" w:rsidRDefault="007D7702" w:rsidP="007D7702">
      <w:pPr>
        <w:pStyle w:val="Title"/>
        <w:spacing w:after="120"/>
        <w:jc w:val="both"/>
        <w:rPr>
          <w:b w:val="0"/>
          <w:color w:val="000000" w:themeColor="text1"/>
          <w:szCs w:val="24"/>
          <w:lang w:val="lv-LV"/>
        </w:rPr>
      </w:pPr>
      <w:r w:rsidRPr="002C640A">
        <w:rPr>
          <w:b w:val="0"/>
          <w:color w:val="000000" w:themeColor="text1"/>
          <w:szCs w:val="24"/>
          <w:lang w:val="lv-LV"/>
        </w:rPr>
        <w:t xml:space="preserve">Tehnisko piedāvājumu Pretendents </w:t>
      </w:r>
      <w:r>
        <w:rPr>
          <w:b w:val="0"/>
          <w:color w:val="000000" w:themeColor="text1"/>
          <w:szCs w:val="24"/>
          <w:lang w:val="lv-LV"/>
        </w:rPr>
        <w:t>sagatavo saskaņā ar T</w:t>
      </w:r>
      <w:r w:rsidRPr="002C640A">
        <w:rPr>
          <w:b w:val="0"/>
          <w:color w:val="000000" w:themeColor="text1"/>
          <w:szCs w:val="24"/>
          <w:lang w:val="lv-LV"/>
        </w:rPr>
        <w:t xml:space="preserve">ehniskās specifikācijas (Iepirkuma nolikuma </w:t>
      </w:r>
      <w:r>
        <w:rPr>
          <w:b w:val="0"/>
          <w:color w:val="000000" w:themeColor="text1"/>
          <w:szCs w:val="24"/>
          <w:lang w:val="lv-LV"/>
        </w:rPr>
        <w:t>1</w:t>
      </w:r>
      <w:r w:rsidRPr="002C640A">
        <w:rPr>
          <w:b w:val="0"/>
          <w:color w:val="000000" w:themeColor="text1"/>
          <w:szCs w:val="24"/>
          <w:lang w:val="lv-LV"/>
        </w:rPr>
        <w:t>. pielikums) prasībām un vadoties no šajos dokumentos sniegtās informācijas. Papildus tam ir vēlams izmantot Eiropas Komisijas izstrādātās spēkā esošās vadlīnijas par labākajiem pieejamajiem tehniskajiem paņēmieniem (turpmāk – LPTP), piemēram,</w:t>
      </w:r>
      <w:r w:rsidR="00CE60D3">
        <w:rPr>
          <w:b w:val="0"/>
          <w:color w:val="000000" w:themeColor="text1"/>
          <w:szCs w:val="24"/>
          <w:lang w:val="lv-LV"/>
        </w:rPr>
        <w:t xml:space="preserve"> a</w:t>
      </w:r>
      <w:r w:rsidRPr="002C640A">
        <w:rPr>
          <w:b w:val="0"/>
          <w:color w:val="000000" w:themeColor="text1"/>
          <w:szCs w:val="24"/>
          <w:lang w:val="lv-LV"/>
        </w:rPr>
        <w:t xml:space="preserve">tkritumu pārstrādes nozare, </w:t>
      </w:r>
      <w:r w:rsidR="00CE60D3">
        <w:rPr>
          <w:b w:val="0"/>
          <w:color w:val="000000" w:themeColor="text1"/>
          <w:szCs w:val="24"/>
          <w:lang w:val="lv-LV"/>
        </w:rPr>
        <w:t>a</w:t>
      </w:r>
      <w:r w:rsidRPr="002C640A">
        <w:rPr>
          <w:b w:val="0"/>
          <w:color w:val="000000" w:themeColor="text1"/>
          <w:szCs w:val="24"/>
          <w:lang w:val="lv-LV"/>
        </w:rPr>
        <w:t xml:space="preserve">tkritumu sadedzināšana, </w:t>
      </w:r>
      <w:r w:rsidR="00CE60D3">
        <w:rPr>
          <w:b w:val="0"/>
          <w:color w:val="000000" w:themeColor="text1"/>
          <w:szCs w:val="24"/>
          <w:lang w:val="lv-LV"/>
        </w:rPr>
        <w:t>v</w:t>
      </w:r>
      <w:r w:rsidRPr="002C640A">
        <w:rPr>
          <w:b w:val="0"/>
          <w:color w:val="000000" w:themeColor="text1"/>
          <w:szCs w:val="24"/>
          <w:lang w:val="lv-LV"/>
        </w:rPr>
        <w:t>ispārīgie monitoringa principi u.c. LPTP Vadlīnijas atrodamas Vides pārraudzības valsts biroja mājas lapā</w:t>
      </w:r>
      <w:r w:rsidR="00CE60D3">
        <w:rPr>
          <w:rStyle w:val="FootnoteReference"/>
          <w:b w:val="0"/>
          <w:color w:val="000000" w:themeColor="text1"/>
          <w:szCs w:val="24"/>
          <w:lang w:val="lv-LV"/>
        </w:rPr>
        <w:footnoteReference w:id="1"/>
      </w:r>
      <w:r w:rsidR="00CE60D3">
        <w:rPr>
          <w:b w:val="0"/>
          <w:color w:val="000000" w:themeColor="text1"/>
          <w:szCs w:val="24"/>
          <w:lang w:val="lv-LV"/>
        </w:rPr>
        <w:t>.</w:t>
      </w:r>
    </w:p>
    <w:p w14:paraId="22FA0647" w14:textId="293ABCAA" w:rsidR="007D7702" w:rsidRPr="002C640A" w:rsidRDefault="007D7702" w:rsidP="007D7702">
      <w:pPr>
        <w:pStyle w:val="Title"/>
        <w:spacing w:after="120"/>
        <w:jc w:val="both"/>
        <w:rPr>
          <w:b w:val="0"/>
          <w:color w:val="000000" w:themeColor="text1"/>
          <w:szCs w:val="24"/>
          <w:lang w:val="lv-LV"/>
        </w:rPr>
      </w:pPr>
      <w:r w:rsidRPr="002C640A">
        <w:rPr>
          <w:b w:val="0"/>
          <w:color w:val="000000" w:themeColor="text1"/>
          <w:szCs w:val="24"/>
          <w:lang w:val="lv-LV"/>
        </w:rPr>
        <w:t xml:space="preserve">Tehniskajā piedāvājumā Pretendents apraksta darbības, kuras veiks dažādās </w:t>
      </w:r>
      <w:r w:rsidR="00CE60D3">
        <w:rPr>
          <w:b w:val="0"/>
          <w:color w:val="000000" w:themeColor="text1"/>
          <w:szCs w:val="24"/>
          <w:lang w:val="lv-LV"/>
        </w:rPr>
        <w:t>sanācijas dar</w:t>
      </w:r>
      <w:r w:rsidRPr="002C640A">
        <w:rPr>
          <w:b w:val="0"/>
          <w:color w:val="000000" w:themeColor="text1"/>
          <w:szCs w:val="24"/>
          <w:lang w:val="lv-LV"/>
        </w:rPr>
        <w:t xml:space="preserve">bu stadijās </w:t>
      </w:r>
      <w:r>
        <w:rPr>
          <w:b w:val="0"/>
          <w:color w:val="000000" w:themeColor="text1"/>
          <w:szCs w:val="24"/>
          <w:lang w:val="lv-LV"/>
        </w:rPr>
        <w:t xml:space="preserve">– </w:t>
      </w:r>
      <w:r w:rsidR="00637238">
        <w:rPr>
          <w:b w:val="0"/>
          <w:color w:val="000000" w:themeColor="text1"/>
          <w:szCs w:val="24"/>
          <w:lang w:val="lv-LV"/>
        </w:rPr>
        <w:t>sagatavošanās darbu</w:t>
      </w:r>
      <w:r>
        <w:rPr>
          <w:b w:val="0"/>
          <w:color w:val="000000" w:themeColor="text1"/>
          <w:szCs w:val="24"/>
          <w:lang w:val="lv-LV"/>
        </w:rPr>
        <w:t>, sanācijas darbu</w:t>
      </w:r>
      <w:r w:rsidR="00CE60D3">
        <w:rPr>
          <w:b w:val="0"/>
          <w:color w:val="000000" w:themeColor="text1"/>
          <w:szCs w:val="24"/>
          <w:lang w:val="lv-LV"/>
        </w:rPr>
        <w:t xml:space="preserve"> un</w:t>
      </w:r>
      <w:r w:rsidRPr="002C640A">
        <w:rPr>
          <w:b w:val="0"/>
          <w:color w:val="000000" w:themeColor="text1"/>
          <w:szCs w:val="24"/>
          <w:lang w:val="lv-LV"/>
        </w:rPr>
        <w:t xml:space="preserve"> monitoringa laikā. </w:t>
      </w:r>
    </w:p>
    <w:p w14:paraId="6CCFA3C3" w14:textId="29B9CEA5" w:rsidR="007D7702" w:rsidRPr="002C640A" w:rsidRDefault="007D7702" w:rsidP="007D7702">
      <w:pPr>
        <w:pStyle w:val="Title"/>
        <w:spacing w:after="120"/>
        <w:jc w:val="both"/>
        <w:rPr>
          <w:b w:val="0"/>
          <w:color w:val="000000" w:themeColor="text1"/>
          <w:szCs w:val="24"/>
          <w:lang w:val="lv-LV"/>
        </w:rPr>
      </w:pPr>
      <w:r w:rsidRPr="002C640A">
        <w:rPr>
          <w:b w:val="0"/>
          <w:color w:val="000000" w:themeColor="text1"/>
          <w:szCs w:val="24"/>
          <w:lang w:val="lv-LV"/>
        </w:rPr>
        <w:t xml:space="preserve">Tehniskais piedāvājums jāsagatavo tā, lai informācija, kas tajā sniegta, būtu salīdzināma un pārbaudāma </w:t>
      </w:r>
      <w:r w:rsidRPr="00CE60D3">
        <w:rPr>
          <w:b w:val="0"/>
          <w:color w:val="000000" w:themeColor="text1"/>
          <w:szCs w:val="24"/>
          <w:lang w:val="lv-LV"/>
        </w:rPr>
        <w:t xml:space="preserve">ar „Finanšu piedāvājuma veidne” veidnē nosaukto </w:t>
      </w:r>
      <w:r w:rsidR="00CE60D3" w:rsidRPr="00CE60D3">
        <w:rPr>
          <w:b w:val="0"/>
          <w:color w:val="000000" w:themeColor="text1"/>
          <w:szCs w:val="24"/>
          <w:lang w:val="lv-LV"/>
        </w:rPr>
        <w:t>sanācijas d</w:t>
      </w:r>
      <w:r w:rsidRPr="00CE60D3">
        <w:rPr>
          <w:b w:val="0"/>
          <w:color w:val="000000" w:themeColor="text1"/>
          <w:szCs w:val="24"/>
          <w:lang w:val="lv-LV"/>
        </w:rPr>
        <w:t>arbu izmaksu pozīciju sarakstu.</w:t>
      </w:r>
      <w:r w:rsidRPr="002C640A">
        <w:rPr>
          <w:b w:val="0"/>
          <w:color w:val="000000" w:themeColor="text1"/>
          <w:szCs w:val="24"/>
          <w:lang w:val="lv-LV"/>
        </w:rPr>
        <w:t xml:space="preserve"> </w:t>
      </w:r>
      <w:bookmarkStart w:id="0" w:name="_Toc254168913"/>
    </w:p>
    <w:bookmarkEnd w:id="0"/>
    <w:p w14:paraId="24C088ED" w14:textId="77777777" w:rsidR="007D7702" w:rsidRPr="002C640A" w:rsidRDefault="007D7702" w:rsidP="007D7702">
      <w:pPr>
        <w:rPr>
          <w:rFonts w:ascii="Times New Roman" w:hAnsi="Times New Roman" w:cs="Times New Roman"/>
          <w:sz w:val="24"/>
          <w:szCs w:val="24"/>
        </w:rPr>
      </w:pPr>
    </w:p>
    <w:p w14:paraId="0951B2C2" w14:textId="77777777" w:rsidR="007D7702" w:rsidRPr="002C640A" w:rsidRDefault="007D7702" w:rsidP="007D7702">
      <w:pPr>
        <w:rPr>
          <w:rFonts w:ascii="Times New Roman" w:hAnsi="Times New Roman" w:cs="Times New Roman"/>
          <w:b/>
          <w:sz w:val="24"/>
          <w:szCs w:val="24"/>
        </w:rPr>
      </w:pPr>
      <w:r w:rsidRPr="002C640A">
        <w:rPr>
          <w:rFonts w:ascii="Times New Roman" w:hAnsi="Times New Roman" w:cs="Times New Roman"/>
          <w:b/>
          <w:sz w:val="24"/>
          <w:szCs w:val="24"/>
        </w:rPr>
        <w:t xml:space="preserve">Tehniskajā piedāvājumā pretendenti ietver vismaz šādu informāciju: </w:t>
      </w:r>
    </w:p>
    <w:p w14:paraId="1DD1424E" w14:textId="77777777" w:rsidR="007D7702" w:rsidRPr="00637238" w:rsidRDefault="007D7702" w:rsidP="007D7702">
      <w:pPr>
        <w:pStyle w:val="RixL1"/>
        <w:rPr>
          <w:b w:val="0"/>
          <w:lang w:val="lv-LV"/>
        </w:rPr>
      </w:pPr>
      <w:bookmarkStart w:id="1" w:name="_Ref451203841"/>
      <w:r w:rsidRPr="00637238">
        <w:rPr>
          <w:b w:val="0"/>
          <w:lang w:val="lv-LV"/>
        </w:rPr>
        <w:t>Sanācijas mērķu sasniegšanai piedāvātās metodes un tehnoloģijas/risinājumi</w:t>
      </w:r>
      <w:bookmarkEnd w:id="1"/>
      <w:r w:rsidRPr="00637238">
        <w:rPr>
          <w:b w:val="0"/>
          <w:lang w:val="lv-LV"/>
        </w:rPr>
        <w:t>:</w:t>
      </w:r>
    </w:p>
    <w:p w14:paraId="7FE96560" w14:textId="77777777" w:rsidR="007D7702" w:rsidRPr="00637238" w:rsidRDefault="007D7702" w:rsidP="007D7702">
      <w:pPr>
        <w:pStyle w:val="RixL1"/>
        <w:spacing w:before="0"/>
        <w:ind w:hanging="357"/>
        <w:rPr>
          <w:b w:val="0"/>
          <w:lang w:val="lv-LV"/>
        </w:rPr>
      </w:pPr>
      <w:r w:rsidRPr="00637238">
        <w:rPr>
          <w:b w:val="0"/>
          <w:lang w:val="lv-LV"/>
        </w:rPr>
        <w:t>Monitoringa pasākumi sanācijas darbu laikā.</w:t>
      </w:r>
    </w:p>
    <w:p w14:paraId="37E3192C" w14:textId="77777777" w:rsidR="007D7702" w:rsidRPr="00637238" w:rsidRDefault="007D7702" w:rsidP="007D7702">
      <w:pPr>
        <w:pStyle w:val="RixL1"/>
        <w:spacing w:before="0"/>
        <w:ind w:hanging="357"/>
        <w:rPr>
          <w:b w:val="0"/>
          <w:lang w:val="lv-LV"/>
        </w:rPr>
      </w:pPr>
      <w:r w:rsidRPr="00637238">
        <w:rPr>
          <w:b w:val="0"/>
          <w:lang w:val="lv-LV"/>
        </w:rPr>
        <w:t>Risku izvērtējums un risku vadība.</w:t>
      </w:r>
    </w:p>
    <w:p w14:paraId="1E498C38" w14:textId="77777777" w:rsidR="007D7702" w:rsidRPr="00637238" w:rsidRDefault="007D7702" w:rsidP="007D7702">
      <w:pPr>
        <w:pStyle w:val="RixL1"/>
        <w:spacing w:before="0"/>
        <w:ind w:hanging="357"/>
        <w:rPr>
          <w:b w:val="0"/>
          <w:lang w:val="lv-LV"/>
        </w:rPr>
      </w:pPr>
      <w:r w:rsidRPr="00637238">
        <w:rPr>
          <w:b w:val="0"/>
          <w:lang w:val="lv-LV"/>
        </w:rPr>
        <w:t>Sanācijas programmas projekts.</w:t>
      </w:r>
    </w:p>
    <w:p w14:paraId="2053F7AC" w14:textId="5DD42100" w:rsidR="007D7702" w:rsidRPr="002C640A" w:rsidRDefault="006F4537" w:rsidP="007D7702">
      <w:pPr>
        <w:pStyle w:val="RixL1"/>
        <w:spacing w:before="0"/>
        <w:ind w:hanging="357"/>
        <w:rPr>
          <w:b w:val="0"/>
          <w:lang w:val="lv-LV"/>
        </w:rPr>
      </w:pPr>
      <w:r>
        <w:rPr>
          <w:b w:val="0"/>
          <w:color w:val="000000" w:themeColor="text1"/>
          <w:lang w:val="lv-LV"/>
        </w:rPr>
        <w:t xml:space="preserve">Sanācijas </w:t>
      </w:r>
      <w:r w:rsidR="007D7702" w:rsidRPr="002C640A">
        <w:rPr>
          <w:b w:val="0"/>
          <w:color w:val="000000" w:themeColor="text1"/>
          <w:lang w:val="lv-LV"/>
        </w:rPr>
        <w:t>darbu apraksts.</w:t>
      </w:r>
    </w:p>
    <w:p w14:paraId="50514452" w14:textId="77777777" w:rsidR="007D7702" w:rsidRPr="002C640A" w:rsidRDefault="007D7702" w:rsidP="007D7702">
      <w:pPr>
        <w:pStyle w:val="RixL1"/>
        <w:spacing w:before="0"/>
        <w:ind w:hanging="357"/>
        <w:rPr>
          <w:b w:val="0"/>
          <w:lang w:val="lv-LV"/>
        </w:rPr>
      </w:pPr>
      <w:r w:rsidRPr="002C640A">
        <w:rPr>
          <w:b w:val="0"/>
          <w:color w:val="000000" w:themeColor="text1"/>
          <w:lang w:val="lv-LV"/>
        </w:rPr>
        <w:t>Darbu izpildes laika grafiks.</w:t>
      </w:r>
    </w:p>
    <w:p w14:paraId="799D8B9B" w14:textId="77777777" w:rsidR="007D7702" w:rsidRPr="002C640A" w:rsidRDefault="007D7702" w:rsidP="007D7702">
      <w:pPr>
        <w:pStyle w:val="RixL1"/>
        <w:spacing w:before="0"/>
        <w:ind w:hanging="357"/>
        <w:rPr>
          <w:b w:val="0"/>
          <w:lang w:val="lv-LV"/>
        </w:rPr>
      </w:pPr>
      <w:r w:rsidRPr="002C640A">
        <w:rPr>
          <w:b w:val="0"/>
          <w:color w:val="000000" w:themeColor="text1"/>
          <w:lang w:val="lv-LV"/>
        </w:rPr>
        <w:t>Vides aizsardzības pasākumu plāns.</w:t>
      </w:r>
    </w:p>
    <w:p w14:paraId="2C01ADF9" w14:textId="77777777" w:rsidR="007D7702" w:rsidRPr="002C640A" w:rsidRDefault="007D7702" w:rsidP="007D7702">
      <w:pPr>
        <w:pStyle w:val="RixL1"/>
        <w:rPr>
          <w:b w:val="0"/>
          <w:lang w:val="lv-LV"/>
        </w:rPr>
      </w:pPr>
      <w:r w:rsidRPr="002C640A">
        <w:rPr>
          <w:b w:val="0"/>
          <w:lang w:val="lv-LV"/>
        </w:rPr>
        <w:t>Testēšanas procedūru apraksts sanācijas mērķu izpildes pārbaudei.</w:t>
      </w:r>
    </w:p>
    <w:p w14:paraId="577BFC40" w14:textId="77777777" w:rsidR="007D7702" w:rsidRPr="002C640A" w:rsidRDefault="007D7702" w:rsidP="007D7702">
      <w:pPr>
        <w:pStyle w:val="RixL1"/>
        <w:rPr>
          <w:b w:val="0"/>
          <w:lang w:val="lv-LV"/>
        </w:rPr>
      </w:pPr>
      <w:r w:rsidRPr="002C640A">
        <w:rPr>
          <w:b w:val="0"/>
          <w:lang w:val="lv-LV"/>
        </w:rPr>
        <w:t>Naudas plūsmas grafiks.</w:t>
      </w:r>
    </w:p>
    <w:p w14:paraId="61B2413B" w14:textId="77777777" w:rsidR="007D7702" w:rsidRPr="002C640A" w:rsidRDefault="007D7702" w:rsidP="007D7702">
      <w:pPr>
        <w:spacing w:before="120" w:after="120"/>
        <w:jc w:val="both"/>
        <w:rPr>
          <w:rFonts w:ascii="Times New Roman" w:hAnsi="Times New Roman" w:cs="Times New Roman"/>
          <w:color w:val="000000" w:themeColor="text1"/>
          <w:sz w:val="24"/>
          <w:szCs w:val="24"/>
        </w:rPr>
      </w:pPr>
      <w:bookmarkStart w:id="2" w:name="_Toc254168915"/>
    </w:p>
    <w:p w14:paraId="0E7D6C06" w14:textId="77777777" w:rsidR="007D7702" w:rsidRPr="002C640A" w:rsidRDefault="007D7702" w:rsidP="007D7702">
      <w:pPr>
        <w:pStyle w:val="ListParagraph"/>
        <w:numPr>
          <w:ilvl w:val="0"/>
          <w:numId w:val="4"/>
        </w:numPr>
        <w:spacing w:before="120" w:after="120" w:line="240" w:lineRule="auto"/>
        <w:jc w:val="both"/>
        <w:rPr>
          <w:rFonts w:ascii="Times New Roman" w:hAnsi="Times New Roman"/>
          <w:b/>
          <w:sz w:val="24"/>
          <w:szCs w:val="24"/>
        </w:rPr>
      </w:pPr>
      <w:bookmarkStart w:id="3" w:name="_Ref451203886"/>
      <w:r w:rsidRPr="002C640A">
        <w:rPr>
          <w:rFonts w:ascii="Times New Roman" w:hAnsi="Times New Roman"/>
          <w:b/>
          <w:sz w:val="24"/>
          <w:szCs w:val="24"/>
        </w:rPr>
        <w:t>Sanācijas mērķu sasniegšanai piedāvātās metodes un tehnoloģijas/risinājumi</w:t>
      </w:r>
      <w:bookmarkEnd w:id="2"/>
      <w:bookmarkEnd w:id="3"/>
    </w:p>
    <w:p w14:paraId="7CA5D1C1" w14:textId="77777777" w:rsidR="007D7702" w:rsidRPr="002C640A" w:rsidRDefault="007D7702" w:rsidP="007D7702">
      <w:pPr>
        <w:spacing w:after="120"/>
        <w:jc w:val="both"/>
        <w:rPr>
          <w:rFonts w:ascii="Times New Roman" w:hAnsi="Times New Roman" w:cs="Times New Roman"/>
          <w:sz w:val="24"/>
          <w:szCs w:val="24"/>
        </w:rPr>
      </w:pPr>
      <w:r w:rsidRPr="002C640A">
        <w:rPr>
          <w:rFonts w:ascii="Times New Roman" w:hAnsi="Times New Roman" w:cs="Times New Roman"/>
          <w:sz w:val="24"/>
          <w:szCs w:val="24"/>
        </w:rPr>
        <w:t xml:space="preserve">Pretendenta tehniskajam piedāvājumam sanācijas mērķu sasniegšanai ir jāpiedāvā visefektīvākās un progresīvākās darbību un to ekspluatācijas metodes, kurās parādīta konkrēto tehnisko paņēmienu praktiskā piemērotība projekta konkrēto mērķu sasniegšanai. </w:t>
      </w:r>
    </w:p>
    <w:p w14:paraId="006CE66F" w14:textId="43332A3C" w:rsidR="007D7702" w:rsidRPr="002C640A" w:rsidRDefault="007D7702" w:rsidP="007D7702">
      <w:pPr>
        <w:spacing w:after="120"/>
        <w:jc w:val="both"/>
        <w:rPr>
          <w:rFonts w:ascii="Times New Roman" w:hAnsi="Times New Roman" w:cs="Times New Roman"/>
          <w:sz w:val="24"/>
          <w:szCs w:val="24"/>
        </w:rPr>
      </w:pPr>
      <w:r w:rsidRPr="002C640A">
        <w:rPr>
          <w:rFonts w:ascii="Times New Roman" w:hAnsi="Times New Roman" w:cs="Times New Roman"/>
          <w:sz w:val="24"/>
          <w:szCs w:val="24"/>
        </w:rPr>
        <w:lastRenderedPageBreak/>
        <w:t xml:space="preserve">Pretendenta tehniskajā piedāvājumā jābūt apkopotiem arī svarīgākajiem labākajiem pieejamajiem tehniskajiem paņēmieniem (LPTP), t.sk. ar šiem paņēmieniem saistītajām emisiju robežvērtībām, izejvielu patēriņa līmeņiem un piesārņojošo darbību uzraudzību, balstoties uz </w:t>
      </w:r>
      <w:r w:rsidR="006F4537">
        <w:rPr>
          <w:rFonts w:ascii="Times New Roman" w:hAnsi="Times New Roman" w:cs="Times New Roman"/>
          <w:sz w:val="24"/>
          <w:szCs w:val="24"/>
        </w:rPr>
        <w:t>normatīvo aktu</w:t>
      </w:r>
      <w:r w:rsidRPr="002C640A">
        <w:rPr>
          <w:rFonts w:ascii="Times New Roman" w:hAnsi="Times New Roman" w:cs="Times New Roman"/>
          <w:sz w:val="24"/>
          <w:szCs w:val="24"/>
        </w:rPr>
        <w:t xml:space="preserve"> regulējumu.</w:t>
      </w:r>
    </w:p>
    <w:p w14:paraId="22531D15" w14:textId="10B6222C" w:rsidR="007D7702" w:rsidRPr="002C640A" w:rsidRDefault="007D7702" w:rsidP="007D7702">
      <w:pPr>
        <w:spacing w:before="120" w:after="120"/>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Pretendentam jāapraksta sanācijas metodi/des, kuras paredzēts izmantot Līguma izpildē, un jāiekļauj visu sanācijas darbu ietvaros plānoto tehnoloģiju/risinājumu (t.sk.</w:t>
      </w:r>
      <w:r>
        <w:rPr>
          <w:rFonts w:ascii="Times New Roman" w:hAnsi="Times New Roman" w:cs="Times New Roman"/>
          <w:color w:val="000000" w:themeColor="text1"/>
          <w:sz w:val="24"/>
          <w:szCs w:val="24"/>
        </w:rPr>
        <w:t xml:space="preserve"> </w:t>
      </w:r>
      <w:r w:rsidRPr="002C640A">
        <w:rPr>
          <w:rFonts w:ascii="Times New Roman" w:hAnsi="Times New Roman" w:cs="Times New Roman"/>
          <w:color w:val="000000" w:themeColor="text1"/>
          <w:sz w:val="24"/>
          <w:szCs w:val="24"/>
        </w:rPr>
        <w:t xml:space="preserve">apstrādes, transportēšanas, utilizācijas, utt.) apraksts un nepieciešamās shēmas (ieskaitot procesa shēmas un profilus), tehniskie parametri saskaņā ar </w:t>
      </w:r>
      <w:r>
        <w:rPr>
          <w:rFonts w:ascii="Times New Roman" w:hAnsi="Times New Roman" w:cs="Times New Roman"/>
          <w:color w:val="000000" w:themeColor="text1"/>
          <w:sz w:val="24"/>
          <w:szCs w:val="24"/>
        </w:rPr>
        <w:t>Tehnisko specifikāciju</w:t>
      </w:r>
      <w:r w:rsidRPr="002C640A">
        <w:rPr>
          <w:rFonts w:ascii="Times New Roman" w:hAnsi="Times New Roman" w:cs="Times New Roman"/>
          <w:color w:val="000000" w:themeColor="text1"/>
          <w:sz w:val="24"/>
          <w:szCs w:val="24"/>
        </w:rPr>
        <w:t xml:space="preserve">, norādot piedāvātās tehnoloģijas/risinājumu plusus un mīnusus. </w:t>
      </w:r>
    </w:p>
    <w:p w14:paraId="698F74FC" w14:textId="77865B38" w:rsidR="007D7702" w:rsidRDefault="007D7702" w:rsidP="007D7702">
      <w:pPr>
        <w:spacing w:after="120"/>
        <w:jc w:val="both"/>
        <w:rPr>
          <w:rFonts w:ascii="Times New Roman" w:hAnsi="Times New Roman" w:cs="Times New Roman"/>
          <w:sz w:val="24"/>
          <w:szCs w:val="24"/>
        </w:rPr>
      </w:pPr>
      <w:r w:rsidRPr="002C640A">
        <w:rPr>
          <w:rFonts w:ascii="Times New Roman" w:hAnsi="Times New Roman" w:cs="Times New Roman"/>
          <w:sz w:val="24"/>
          <w:szCs w:val="24"/>
        </w:rPr>
        <w:t xml:space="preserve">Šajā sadaļā, atbilstoši piedāvātajai tehnoloģijai/risinājumiem, jānorāda visu nepieciešamo darbu izpildes secība un organizācija, kā arī sanācijas darbos izmantojamo tehnoloģisko procesu prognozējamā masas bilance. </w:t>
      </w:r>
    </w:p>
    <w:tbl>
      <w:tblPr>
        <w:tblStyle w:val="TableGrid"/>
        <w:tblW w:w="9640" w:type="dxa"/>
        <w:tblInd w:w="-714" w:type="dxa"/>
        <w:tblLook w:val="04A0" w:firstRow="1" w:lastRow="0" w:firstColumn="1" w:lastColumn="0" w:noHBand="0" w:noVBand="1"/>
      </w:tblPr>
      <w:tblGrid>
        <w:gridCol w:w="4104"/>
        <w:gridCol w:w="1763"/>
        <w:gridCol w:w="3773"/>
      </w:tblGrid>
      <w:tr w:rsidR="00A26414" w:rsidRPr="00A26414" w14:paraId="768FD148" w14:textId="77777777" w:rsidTr="00A26414">
        <w:tc>
          <w:tcPr>
            <w:tcW w:w="4111" w:type="dxa"/>
          </w:tcPr>
          <w:p w14:paraId="7D4BA026" w14:textId="547E7A7D" w:rsidR="00A26414" w:rsidRPr="00A26414" w:rsidRDefault="00A26414" w:rsidP="00A26414">
            <w:pPr>
              <w:spacing w:after="120"/>
              <w:jc w:val="center"/>
              <w:rPr>
                <w:b/>
                <w:bCs/>
                <w:i/>
                <w:iCs/>
                <w:sz w:val="24"/>
                <w:szCs w:val="24"/>
              </w:rPr>
            </w:pPr>
            <w:r w:rsidRPr="00A26414">
              <w:rPr>
                <w:b/>
                <w:bCs/>
                <w:i/>
                <w:iCs/>
                <w:sz w:val="24"/>
                <w:szCs w:val="24"/>
              </w:rPr>
              <w:t>Kritērijs</w:t>
            </w:r>
          </w:p>
        </w:tc>
        <w:tc>
          <w:tcPr>
            <w:tcW w:w="1750" w:type="dxa"/>
          </w:tcPr>
          <w:p w14:paraId="594BD574" w14:textId="6E71F179" w:rsidR="00A26414" w:rsidRPr="00A26414" w:rsidRDefault="00A26414" w:rsidP="00A26414">
            <w:pPr>
              <w:spacing w:after="120"/>
              <w:jc w:val="center"/>
              <w:rPr>
                <w:b/>
                <w:bCs/>
                <w:i/>
                <w:iCs/>
                <w:sz w:val="24"/>
                <w:szCs w:val="24"/>
              </w:rPr>
            </w:pPr>
            <w:r w:rsidRPr="00A26414">
              <w:rPr>
                <w:b/>
                <w:bCs/>
                <w:i/>
                <w:iCs/>
                <w:sz w:val="24"/>
                <w:szCs w:val="24"/>
              </w:rPr>
              <w:t>Atbilst/neatbilst</w:t>
            </w:r>
          </w:p>
        </w:tc>
        <w:tc>
          <w:tcPr>
            <w:tcW w:w="3779" w:type="dxa"/>
          </w:tcPr>
          <w:p w14:paraId="4D48A286" w14:textId="4CC4037C" w:rsidR="00A26414" w:rsidRPr="00A26414" w:rsidRDefault="00A26414" w:rsidP="00A26414">
            <w:pPr>
              <w:spacing w:after="120"/>
              <w:jc w:val="center"/>
              <w:rPr>
                <w:b/>
                <w:bCs/>
                <w:i/>
                <w:iCs/>
                <w:sz w:val="24"/>
                <w:szCs w:val="24"/>
              </w:rPr>
            </w:pPr>
            <w:r w:rsidRPr="00A26414">
              <w:rPr>
                <w:b/>
                <w:bCs/>
                <w:i/>
                <w:iCs/>
                <w:sz w:val="24"/>
                <w:szCs w:val="24"/>
              </w:rPr>
              <w:t>Pamatojums</w:t>
            </w:r>
          </w:p>
        </w:tc>
      </w:tr>
      <w:tr w:rsidR="00A26414" w:rsidRPr="00A26414" w14:paraId="7CF16F91" w14:textId="77777777" w:rsidTr="00A26414">
        <w:tc>
          <w:tcPr>
            <w:tcW w:w="4111" w:type="dxa"/>
          </w:tcPr>
          <w:p w14:paraId="41BB2EC6" w14:textId="1CF80827" w:rsidR="00A26414" w:rsidRPr="00A26414" w:rsidRDefault="007337DE" w:rsidP="007D7702">
            <w:pPr>
              <w:spacing w:after="120"/>
              <w:jc w:val="both"/>
              <w:rPr>
                <w:sz w:val="24"/>
                <w:szCs w:val="24"/>
              </w:rPr>
            </w:pPr>
            <w:r>
              <w:rPr>
                <w:sz w:val="24"/>
              </w:rPr>
              <w:t>Filtrējošas – attīrošās b</w:t>
            </w:r>
            <w:r w:rsidR="00A26414" w:rsidRPr="00A26414">
              <w:rPr>
                <w:sz w:val="24"/>
              </w:rPr>
              <w:t>arjeras sistēmas tehnoloģija</w:t>
            </w:r>
            <w:r w:rsidR="00452F8B">
              <w:rPr>
                <w:sz w:val="24"/>
              </w:rPr>
              <w:t>s</w:t>
            </w:r>
            <w:r w:rsidR="00A26414" w:rsidRPr="00A26414">
              <w:rPr>
                <w:sz w:val="24"/>
              </w:rPr>
              <w:t xml:space="preserve"> risinājuma atbilstība likuma “Par ietekmes uz vidi novērtējumu”, 1. un 2. pielikuma priekšmetam</w:t>
            </w:r>
          </w:p>
        </w:tc>
        <w:tc>
          <w:tcPr>
            <w:tcW w:w="1750" w:type="dxa"/>
          </w:tcPr>
          <w:p w14:paraId="44FE4487" w14:textId="77777777" w:rsidR="00A26414" w:rsidRPr="00A26414" w:rsidRDefault="00A26414" w:rsidP="007D7702">
            <w:pPr>
              <w:spacing w:after="120"/>
              <w:jc w:val="both"/>
              <w:rPr>
                <w:sz w:val="24"/>
                <w:szCs w:val="24"/>
              </w:rPr>
            </w:pPr>
          </w:p>
        </w:tc>
        <w:tc>
          <w:tcPr>
            <w:tcW w:w="3779" w:type="dxa"/>
          </w:tcPr>
          <w:p w14:paraId="6997BB18" w14:textId="77777777" w:rsidR="00A26414" w:rsidRPr="00A26414" w:rsidRDefault="00A26414" w:rsidP="007D7702">
            <w:pPr>
              <w:spacing w:after="120"/>
              <w:jc w:val="both"/>
              <w:rPr>
                <w:sz w:val="24"/>
                <w:szCs w:val="24"/>
              </w:rPr>
            </w:pPr>
          </w:p>
        </w:tc>
      </w:tr>
      <w:tr w:rsidR="00A26414" w:rsidRPr="00A26414" w14:paraId="064D5E59" w14:textId="77777777" w:rsidTr="00A26414">
        <w:tc>
          <w:tcPr>
            <w:tcW w:w="4111" w:type="dxa"/>
          </w:tcPr>
          <w:p w14:paraId="065CB8DC" w14:textId="39923B7F" w:rsidR="00A26414" w:rsidRPr="00A26414" w:rsidRDefault="00A26414" w:rsidP="007D7702">
            <w:pPr>
              <w:spacing w:after="120"/>
              <w:jc w:val="both"/>
              <w:rPr>
                <w:sz w:val="24"/>
                <w:szCs w:val="24"/>
              </w:rPr>
            </w:pPr>
            <w:r w:rsidRPr="00A26414">
              <w:rPr>
                <w:sz w:val="24"/>
              </w:rPr>
              <w:t>Būvprojekta izstrādes nepieciešamība</w:t>
            </w:r>
            <w:r w:rsidR="007337DE">
              <w:rPr>
                <w:sz w:val="24"/>
              </w:rPr>
              <w:t xml:space="preserve"> filtrējošās - attīrošās</w:t>
            </w:r>
            <w:r w:rsidRPr="00A26414">
              <w:rPr>
                <w:sz w:val="24"/>
              </w:rPr>
              <w:t xml:space="preserve"> barjeras sistēmas tehnoloģija</w:t>
            </w:r>
            <w:r w:rsidR="004E3A52">
              <w:rPr>
                <w:sz w:val="24"/>
              </w:rPr>
              <w:t>s</w:t>
            </w:r>
            <w:r w:rsidRPr="00A26414">
              <w:rPr>
                <w:sz w:val="24"/>
              </w:rPr>
              <w:t xml:space="preserve"> risinājumam</w:t>
            </w:r>
          </w:p>
        </w:tc>
        <w:tc>
          <w:tcPr>
            <w:tcW w:w="1750" w:type="dxa"/>
          </w:tcPr>
          <w:p w14:paraId="2E2C9395" w14:textId="77777777" w:rsidR="00A26414" w:rsidRPr="00A26414" w:rsidRDefault="00A26414" w:rsidP="007D7702">
            <w:pPr>
              <w:spacing w:after="120"/>
              <w:jc w:val="both"/>
              <w:rPr>
                <w:sz w:val="24"/>
                <w:szCs w:val="24"/>
              </w:rPr>
            </w:pPr>
          </w:p>
        </w:tc>
        <w:tc>
          <w:tcPr>
            <w:tcW w:w="3779" w:type="dxa"/>
          </w:tcPr>
          <w:p w14:paraId="7F2695CA" w14:textId="77777777" w:rsidR="00A26414" w:rsidRPr="00A26414" w:rsidRDefault="00A26414" w:rsidP="007D7702">
            <w:pPr>
              <w:spacing w:after="120"/>
              <w:jc w:val="both"/>
              <w:rPr>
                <w:sz w:val="24"/>
                <w:szCs w:val="24"/>
              </w:rPr>
            </w:pPr>
          </w:p>
        </w:tc>
      </w:tr>
    </w:tbl>
    <w:p w14:paraId="191AF7B0" w14:textId="78665EB6" w:rsidR="00A26414" w:rsidRDefault="00A26414" w:rsidP="007D7702">
      <w:pPr>
        <w:spacing w:after="120"/>
        <w:jc w:val="both"/>
        <w:rPr>
          <w:rFonts w:ascii="Times New Roman" w:hAnsi="Times New Roman" w:cs="Times New Roman"/>
          <w:sz w:val="24"/>
          <w:szCs w:val="24"/>
        </w:rPr>
      </w:pPr>
    </w:p>
    <w:p w14:paraId="0A4C7790" w14:textId="78290E99" w:rsidR="00792B6C" w:rsidRPr="002C640A" w:rsidRDefault="00792B6C" w:rsidP="007D7702">
      <w:pPr>
        <w:spacing w:after="120"/>
        <w:jc w:val="both"/>
        <w:rPr>
          <w:rFonts w:ascii="Times New Roman" w:hAnsi="Times New Roman" w:cs="Times New Roman"/>
          <w:sz w:val="24"/>
          <w:szCs w:val="24"/>
        </w:rPr>
      </w:pPr>
      <w:r>
        <w:rPr>
          <w:rFonts w:ascii="Times New Roman" w:hAnsi="Times New Roman" w:cs="Times New Roman"/>
          <w:sz w:val="24"/>
          <w:szCs w:val="24"/>
        </w:rPr>
        <w:t>Jānorāda kādas</w:t>
      </w:r>
      <w:r w:rsidR="00AF2E87">
        <w:rPr>
          <w:rFonts w:ascii="Times New Roman" w:hAnsi="Times New Roman" w:cs="Times New Roman"/>
          <w:sz w:val="24"/>
          <w:szCs w:val="24"/>
        </w:rPr>
        <w:t xml:space="preserve"> uzturēšanas izmaksas būs nepieciešamas pēc</w:t>
      </w:r>
      <w:r>
        <w:rPr>
          <w:rFonts w:ascii="Times New Roman" w:hAnsi="Times New Roman" w:cs="Times New Roman"/>
          <w:sz w:val="24"/>
          <w:szCs w:val="24"/>
        </w:rPr>
        <w:t xml:space="preserve"> </w:t>
      </w:r>
      <w:r w:rsidR="007337DE">
        <w:rPr>
          <w:rFonts w:ascii="Times New Roman" w:hAnsi="Times New Roman" w:cs="Times New Roman"/>
          <w:sz w:val="24"/>
          <w:szCs w:val="24"/>
        </w:rPr>
        <w:t xml:space="preserve">filtrējošās – attīrošās </w:t>
      </w:r>
      <w:r w:rsidRPr="00792B6C">
        <w:rPr>
          <w:rFonts w:ascii="Times New Roman" w:hAnsi="Times New Roman" w:cs="Times New Roman"/>
          <w:sz w:val="24"/>
          <w:szCs w:val="24"/>
        </w:rPr>
        <w:t>barjeras sistēma</w:t>
      </w:r>
      <w:r w:rsidR="007856DB">
        <w:rPr>
          <w:rFonts w:ascii="Times New Roman" w:hAnsi="Times New Roman" w:cs="Times New Roman"/>
          <w:sz w:val="24"/>
          <w:szCs w:val="24"/>
        </w:rPr>
        <w:t>s</w:t>
      </w:r>
      <w:r w:rsidRPr="00792B6C">
        <w:rPr>
          <w:rFonts w:ascii="Times New Roman" w:hAnsi="Times New Roman" w:cs="Times New Roman"/>
          <w:sz w:val="24"/>
          <w:szCs w:val="24"/>
        </w:rPr>
        <w:t xml:space="preserve"> ierīkošanas un nodošanas</w:t>
      </w:r>
      <w:r>
        <w:rPr>
          <w:rFonts w:ascii="Times New Roman" w:hAnsi="Times New Roman" w:cs="Times New Roman"/>
          <w:sz w:val="24"/>
          <w:szCs w:val="24"/>
        </w:rPr>
        <w:t>. Jāuzrāda</w:t>
      </w:r>
      <w:r w:rsidR="00F82480">
        <w:rPr>
          <w:rFonts w:ascii="Times New Roman" w:hAnsi="Times New Roman" w:cs="Times New Roman"/>
          <w:sz w:val="24"/>
          <w:szCs w:val="24"/>
        </w:rPr>
        <w:t xml:space="preserve"> vai un</w:t>
      </w:r>
      <w:r>
        <w:rPr>
          <w:rFonts w:ascii="Times New Roman" w:hAnsi="Times New Roman" w:cs="Times New Roman"/>
          <w:sz w:val="24"/>
          <w:szCs w:val="24"/>
        </w:rPr>
        <w:t xml:space="preserve"> kādu </w:t>
      </w:r>
      <w:r w:rsidRPr="00792B6C">
        <w:rPr>
          <w:rFonts w:ascii="Times New Roman" w:hAnsi="Times New Roman" w:cs="Times New Roman"/>
          <w:sz w:val="24"/>
          <w:szCs w:val="24"/>
        </w:rPr>
        <w:t>reaģentu nomaiņa</w:t>
      </w:r>
      <w:r>
        <w:rPr>
          <w:rFonts w:ascii="Times New Roman" w:hAnsi="Times New Roman" w:cs="Times New Roman"/>
          <w:sz w:val="24"/>
          <w:szCs w:val="24"/>
        </w:rPr>
        <w:t xml:space="preserve"> nepieciešama</w:t>
      </w:r>
      <w:r w:rsidRPr="00792B6C">
        <w:rPr>
          <w:rFonts w:ascii="Times New Roman" w:hAnsi="Times New Roman" w:cs="Times New Roman"/>
          <w:sz w:val="24"/>
          <w:szCs w:val="24"/>
        </w:rPr>
        <w:t xml:space="preserve">, </w:t>
      </w:r>
      <w:r>
        <w:rPr>
          <w:rFonts w:ascii="Times New Roman" w:hAnsi="Times New Roman" w:cs="Times New Roman"/>
          <w:sz w:val="24"/>
          <w:szCs w:val="24"/>
        </w:rPr>
        <w:t xml:space="preserve">vai </w:t>
      </w:r>
      <w:r w:rsidRPr="00792B6C">
        <w:rPr>
          <w:rFonts w:ascii="Times New Roman" w:hAnsi="Times New Roman" w:cs="Times New Roman"/>
          <w:sz w:val="24"/>
          <w:szCs w:val="24"/>
        </w:rPr>
        <w:t>uzkrātā piesārņojuma atsūknēšana</w:t>
      </w:r>
      <w:r>
        <w:rPr>
          <w:rFonts w:ascii="Times New Roman" w:hAnsi="Times New Roman" w:cs="Times New Roman"/>
          <w:sz w:val="24"/>
          <w:szCs w:val="24"/>
        </w:rPr>
        <w:t xml:space="preserve"> būs nepieciešama</w:t>
      </w:r>
      <w:r w:rsidRPr="00792B6C">
        <w:rPr>
          <w:rFonts w:ascii="Times New Roman" w:hAnsi="Times New Roman" w:cs="Times New Roman"/>
          <w:sz w:val="24"/>
          <w:szCs w:val="24"/>
        </w:rPr>
        <w:t xml:space="preserve">, </w:t>
      </w:r>
      <w:r>
        <w:rPr>
          <w:rFonts w:ascii="Times New Roman" w:hAnsi="Times New Roman" w:cs="Times New Roman"/>
          <w:sz w:val="24"/>
          <w:szCs w:val="24"/>
        </w:rPr>
        <w:t xml:space="preserve">vai un kādā apjomā būs nepieciešama </w:t>
      </w:r>
      <w:r w:rsidRPr="00792B6C">
        <w:rPr>
          <w:rFonts w:ascii="Times New Roman" w:hAnsi="Times New Roman" w:cs="Times New Roman"/>
          <w:sz w:val="24"/>
          <w:szCs w:val="24"/>
        </w:rPr>
        <w:t xml:space="preserve">elektroenerģija sistēmas apkalpošanai utt. </w:t>
      </w:r>
      <w:r>
        <w:rPr>
          <w:rFonts w:ascii="Times New Roman" w:hAnsi="Times New Roman" w:cs="Times New Roman"/>
          <w:sz w:val="24"/>
          <w:szCs w:val="24"/>
        </w:rPr>
        <w:t>Jānorāda vai sistēmas</w:t>
      </w:r>
      <w:r w:rsidRPr="00792B6C">
        <w:rPr>
          <w:rFonts w:ascii="Times New Roman" w:hAnsi="Times New Roman" w:cs="Times New Roman"/>
          <w:sz w:val="24"/>
          <w:szCs w:val="24"/>
        </w:rPr>
        <w:t xml:space="preserve"> darbība būs pasīva un autonoma</w:t>
      </w:r>
      <w:r>
        <w:rPr>
          <w:rFonts w:ascii="Times New Roman" w:hAnsi="Times New Roman" w:cs="Times New Roman"/>
          <w:sz w:val="24"/>
          <w:szCs w:val="24"/>
        </w:rPr>
        <w:t>.</w:t>
      </w:r>
    </w:p>
    <w:p w14:paraId="3F87D6E4" w14:textId="5BA8CB41" w:rsidR="007D7702" w:rsidRPr="002C640A" w:rsidRDefault="007D7702" w:rsidP="007D7702">
      <w:pPr>
        <w:spacing w:after="120"/>
        <w:jc w:val="both"/>
        <w:rPr>
          <w:rFonts w:ascii="Times New Roman" w:hAnsi="Times New Roman" w:cs="Times New Roman"/>
          <w:sz w:val="24"/>
          <w:szCs w:val="24"/>
        </w:rPr>
      </w:pPr>
      <w:r w:rsidRPr="002C640A">
        <w:rPr>
          <w:rFonts w:ascii="Times New Roman" w:hAnsi="Times New Roman" w:cs="Times New Roman"/>
          <w:sz w:val="24"/>
          <w:szCs w:val="24"/>
        </w:rPr>
        <w:t xml:space="preserve">Ja kādu no iepirkuma līguma izpildes procesiem veic Pretendenta piesaistīts piesārņojošās darbības operators likuma “Par piesārņojumu” izpratnē, tad Pretendents sniedz pilnu informāciju par šo operatoru </w:t>
      </w:r>
      <w:r w:rsidRPr="00CE60D3">
        <w:rPr>
          <w:rFonts w:ascii="Times New Roman" w:hAnsi="Times New Roman" w:cs="Times New Roman"/>
          <w:sz w:val="24"/>
          <w:szCs w:val="24"/>
        </w:rPr>
        <w:t xml:space="preserve">un tā apliecinājumu par piedalīšanos iepirkuma līguma izpildē. Šajā apliecinājumā operatoram arī jānorāda konkrētas veicamās darbības, to veikšanas ātrums un </w:t>
      </w:r>
      <w:r w:rsidR="006D2328" w:rsidRPr="00CE60D3">
        <w:rPr>
          <w:rFonts w:ascii="Times New Roman" w:hAnsi="Times New Roman" w:cs="Times New Roman"/>
          <w:sz w:val="24"/>
          <w:szCs w:val="24"/>
        </w:rPr>
        <w:t>apjoms</w:t>
      </w:r>
      <w:r w:rsidRPr="00CE60D3">
        <w:rPr>
          <w:rFonts w:ascii="Times New Roman" w:hAnsi="Times New Roman" w:cs="Times New Roman"/>
          <w:sz w:val="24"/>
          <w:szCs w:val="24"/>
        </w:rPr>
        <w:t>.</w:t>
      </w:r>
      <w:r w:rsidRPr="002C640A">
        <w:rPr>
          <w:rFonts w:ascii="Times New Roman" w:hAnsi="Times New Roman" w:cs="Times New Roman"/>
          <w:sz w:val="24"/>
          <w:szCs w:val="24"/>
        </w:rPr>
        <w:t xml:space="preserve"> </w:t>
      </w:r>
    </w:p>
    <w:p w14:paraId="37D46957" w14:textId="5B6E3938" w:rsidR="007D7702" w:rsidRPr="002C640A" w:rsidRDefault="007D7702" w:rsidP="00CE60D3">
      <w:pPr>
        <w:spacing w:after="120"/>
        <w:jc w:val="both"/>
        <w:rPr>
          <w:rFonts w:ascii="Times New Roman" w:hAnsi="Times New Roman" w:cs="Times New Roman"/>
          <w:sz w:val="24"/>
          <w:szCs w:val="24"/>
        </w:rPr>
      </w:pPr>
      <w:r w:rsidRPr="002C640A">
        <w:rPr>
          <w:rFonts w:ascii="Times New Roman" w:hAnsi="Times New Roman" w:cs="Times New Roman"/>
          <w:sz w:val="24"/>
          <w:szCs w:val="24"/>
        </w:rPr>
        <w:t>Ja Pretendents piedāvā iepirkuma līguma izpildē iesaistīt tehnoloģiju vai iekārtu, kuru izmanto vai kura atrodas ārpus Latvijas Republikas, tad Pretendentam jāapraksta nepieciešamo atļauju saņemšanas procedūra un laiks to saņemšanai Latvijas Republikā.</w:t>
      </w:r>
    </w:p>
    <w:p w14:paraId="6ADA085E" w14:textId="09756E6F" w:rsidR="007D7702" w:rsidRPr="002C640A" w:rsidRDefault="006D2328" w:rsidP="007D7702">
      <w:pPr>
        <w:tabs>
          <w:tab w:val="left" w:pos="360"/>
        </w:tabs>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Pretendents</w:t>
      </w:r>
      <w:r w:rsidR="007D7702" w:rsidRPr="002C640A">
        <w:rPr>
          <w:rFonts w:ascii="Times New Roman" w:hAnsi="Times New Roman" w:cs="Times New Roman"/>
          <w:color w:val="000000" w:themeColor="text1"/>
          <w:sz w:val="24"/>
          <w:szCs w:val="24"/>
        </w:rPr>
        <w:t xml:space="preserve"> paredz dokumentus, kas pierāda sanācijas programmas un </w:t>
      </w:r>
      <w:r>
        <w:rPr>
          <w:rFonts w:ascii="Times New Roman" w:hAnsi="Times New Roman" w:cs="Times New Roman"/>
          <w:color w:val="000000" w:themeColor="text1"/>
          <w:sz w:val="24"/>
          <w:szCs w:val="24"/>
        </w:rPr>
        <w:t xml:space="preserve">sanācijas darbu </w:t>
      </w:r>
      <w:r w:rsidR="007D7702" w:rsidRPr="002C640A">
        <w:rPr>
          <w:rFonts w:ascii="Times New Roman" w:hAnsi="Times New Roman" w:cs="Times New Roman"/>
          <w:color w:val="000000" w:themeColor="text1"/>
          <w:sz w:val="24"/>
          <w:szCs w:val="24"/>
        </w:rPr>
        <w:t xml:space="preserve">mērķu izpildi. Atkarībā no </w:t>
      </w:r>
      <w:r>
        <w:rPr>
          <w:rFonts w:ascii="Times New Roman" w:hAnsi="Times New Roman" w:cs="Times New Roman"/>
          <w:color w:val="000000" w:themeColor="text1"/>
          <w:sz w:val="24"/>
          <w:szCs w:val="24"/>
        </w:rPr>
        <w:t>sanācijas d</w:t>
      </w:r>
      <w:r w:rsidR="007D7702" w:rsidRPr="002C640A">
        <w:rPr>
          <w:rFonts w:ascii="Times New Roman" w:hAnsi="Times New Roman" w:cs="Times New Roman"/>
          <w:color w:val="000000" w:themeColor="text1"/>
          <w:sz w:val="24"/>
          <w:szCs w:val="24"/>
        </w:rPr>
        <w:t>arbu tehnoloģijas</w:t>
      </w:r>
      <w:r w:rsidR="00AC21E2">
        <w:rPr>
          <w:rFonts w:ascii="Times New Roman" w:hAnsi="Times New Roman" w:cs="Times New Roman"/>
          <w:color w:val="000000" w:themeColor="text1"/>
          <w:sz w:val="24"/>
          <w:szCs w:val="24"/>
        </w:rPr>
        <w:t>,</w:t>
      </w:r>
      <w:r w:rsidR="007D7702" w:rsidRPr="002C640A">
        <w:rPr>
          <w:rFonts w:ascii="Times New Roman" w:hAnsi="Times New Roman" w:cs="Times New Roman"/>
          <w:color w:val="000000" w:themeColor="text1"/>
          <w:sz w:val="24"/>
          <w:szCs w:val="24"/>
        </w:rPr>
        <w:t xml:space="preserve"> konkrēt</w:t>
      </w:r>
      <w:r w:rsidR="00CE60D3">
        <w:rPr>
          <w:rFonts w:ascii="Times New Roman" w:hAnsi="Times New Roman" w:cs="Times New Roman"/>
          <w:color w:val="000000" w:themeColor="text1"/>
          <w:sz w:val="24"/>
          <w:szCs w:val="24"/>
        </w:rPr>
        <w:t>o</w:t>
      </w:r>
      <w:r w:rsidR="007D7702" w:rsidRPr="002C64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7D7702" w:rsidRPr="002C640A">
        <w:rPr>
          <w:rFonts w:ascii="Times New Roman" w:hAnsi="Times New Roman" w:cs="Times New Roman"/>
          <w:color w:val="000000" w:themeColor="text1"/>
          <w:sz w:val="24"/>
          <w:szCs w:val="24"/>
        </w:rPr>
        <w:t xml:space="preserve">arbu saturu un apjomus pamatojošie dokumenti var ietvert: </w:t>
      </w:r>
    </w:p>
    <w:p w14:paraId="497FEF37" w14:textId="62E8C374" w:rsidR="007D7702" w:rsidRPr="002C640A" w:rsidRDefault="00252811" w:rsidP="007D7702">
      <w:pPr>
        <w:numPr>
          <w:ilvl w:val="0"/>
          <w:numId w:val="3"/>
        </w:numPr>
        <w:tabs>
          <w:tab w:val="left" w:pos="360"/>
        </w:tabs>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Piesārņojuma</w:t>
      </w:r>
      <w:r w:rsidR="007D7702" w:rsidRPr="002C640A">
        <w:rPr>
          <w:rFonts w:ascii="Times New Roman" w:hAnsi="Times New Roman" w:cs="Times New Roman"/>
          <w:color w:val="000000" w:themeColor="text1"/>
          <w:sz w:val="24"/>
          <w:szCs w:val="24"/>
        </w:rPr>
        <w:t xml:space="preserve"> </w:t>
      </w:r>
      <w:r w:rsidR="006D2328">
        <w:rPr>
          <w:rFonts w:ascii="Times New Roman" w:hAnsi="Times New Roman" w:cs="Times New Roman"/>
          <w:color w:val="000000" w:themeColor="text1"/>
          <w:sz w:val="24"/>
          <w:szCs w:val="24"/>
        </w:rPr>
        <w:t xml:space="preserve">atsūknēšanas, </w:t>
      </w:r>
      <w:r>
        <w:rPr>
          <w:rFonts w:ascii="Times New Roman" w:hAnsi="Times New Roman" w:cs="Times New Roman"/>
          <w:color w:val="000000" w:themeColor="text1"/>
          <w:sz w:val="24"/>
          <w:szCs w:val="24"/>
        </w:rPr>
        <w:t>attīrīšana</w:t>
      </w:r>
      <w:r w:rsidR="007D7702" w:rsidRPr="002C640A">
        <w:rPr>
          <w:rFonts w:ascii="Times New Roman" w:hAnsi="Times New Roman" w:cs="Times New Roman"/>
          <w:color w:val="000000" w:themeColor="text1"/>
          <w:sz w:val="24"/>
          <w:szCs w:val="24"/>
        </w:rPr>
        <w:t>s uzskaites pirmdokumentācijas kopijas un kopsavilkumus;</w:t>
      </w:r>
    </w:p>
    <w:p w14:paraId="4C08EE91" w14:textId="73ACA99D" w:rsidR="007D7702" w:rsidRPr="002C640A" w:rsidRDefault="007D7702" w:rsidP="007D7702">
      <w:pPr>
        <w:numPr>
          <w:ilvl w:val="0"/>
          <w:numId w:val="3"/>
        </w:numPr>
        <w:tabs>
          <w:tab w:val="left" w:pos="360"/>
        </w:tabs>
        <w:spacing w:before="120" w:after="120" w:line="240" w:lineRule="auto"/>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 xml:space="preserve">Pārskatus par objektā ievesto </w:t>
      </w:r>
      <w:r w:rsidR="00252811">
        <w:rPr>
          <w:rFonts w:ascii="Times New Roman" w:hAnsi="Times New Roman" w:cs="Times New Roman"/>
          <w:color w:val="000000" w:themeColor="text1"/>
          <w:sz w:val="24"/>
          <w:szCs w:val="24"/>
        </w:rPr>
        <w:t>piesārņojuma attīrīšanas</w:t>
      </w:r>
      <w:r w:rsidRPr="002C640A">
        <w:rPr>
          <w:rFonts w:ascii="Times New Roman" w:hAnsi="Times New Roman" w:cs="Times New Roman"/>
          <w:color w:val="000000" w:themeColor="text1"/>
          <w:sz w:val="24"/>
          <w:szCs w:val="24"/>
        </w:rPr>
        <w:t xml:space="preserve"> procesā izmantojamo materiālu un reaģentu sortimentu un daudzumiem;</w:t>
      </w:r>
    </w:p>
    <w:p w14:paraId="0DB5057F" w14:textId="602A1B4B" w:rsidR="007D7702" w:rsidRPr="002C640A" w:rsidRDefault="007D7702" w:rsidP="007D7702">
      <w:pPr>
        <w:numPr>
          <w:ilvl w:val="0"/>
          <w:numId w:val="3"/>
        </w:numPr>
        <w:tabs>
          <w:tab w:val="left" w:pos="360"/>
        </w:tabs>
        <w:spacing w:before="120" w:after="120" w:line="240" w:lineRule="auto"/>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Bīstamo atkritumu pārvadājumu pavadzīmes;</w:t>
      </w:r>
    </w:p>
    <w:p w14:paraId="74A0A449" w14:textId="19B42B94" w:rsidR="007D7702" w:rsidRPr="002C640A" w:rsidRDefault="00252811" w:rsidP="007D7702">
      <w:pPr>
        <w:numPr>
          <w:ilvl w:val="0"/>
          <w:numId w:val="3"/>
        </w:numPr>
        <w:tabs>
          <w:tab w:val="left" w:pos="360"/>
        </w:tabs>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Piesārņojuma attīrīšanas</w:t>
      </w:r>
      <w:r w:rsidR="007D7702" w:rsidRPr="002C640A">
        <w:rPr>
          <w:rFonts w:ascii="Times New Roman" w:hAnsi="Times New Roman" w:cs="Times New Roman"/>
          <w:color w:val="000000" w:themeColor="text1"/>
          <w:sz w:val="24"/>
          <w:szCs w:val="24"/>
        </w:rPr>
        <w:t xml:space="preserve"> rezultātā iegūto materiālu galējās utilizācijas apliecinājumu kopijas;</w:t>
      </w:r>
    </w:p>
    <w:p w14:paraId="51CB8BD7" w14:textId="77777777" w:rsidR="007D7702" w:rsidRPr="002C640A" w:rsidRDefault="007D7702" w:rsidP="007D7702">
      <w:pPr>
        <w:numPr>
          <w:ilvl w:val="0"/>
          <w:numId w:val="3"/>
        </w:numPr>
        <w:tabs>
          <w:tab w:val="left" w:pos="360"/>
        </w:tabs>
        <w:spacing w:before="120" w:after="120" w:line="240" w:lineRule="auto"/>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Utilizācijas veicēja apliecinājumu par Līguma izpildes gaitā utilizētajiem bīstamajiem atkritumiem;</w:t>
      </w:r>
      <w:r w:rsidRPr="002C640A">
        <w:rPr>
          <w:rStyle w:val="FootnoteReference"/>
          <w:rFonts w:ascii="Times New Roman" w:hAnsi="Times New Roman" w:cs="Times New Roman"/>
          <w:color w:val="000000" w:themeColor="text1"/>
          <w:sz w:val="24"/>
          <w:szCs w:val="24"/>
        </w:rPr>
        <w:footnoteReference w:id="2"/>
      </w:r>
    </w:p>
    <w:p w14:paraId="5C33858C" w14:textId="1621521B" w:rsidR="00A26414" w:rsidRPr="00A26414" w:rsidRDefault="007D7702" w:rsidP="00A26414">
      <w:pPr>
        <w:numPr>
          <w:ilvl w:val="0"/>
          <w:numId w:val="3"/>
        </w:numPr>
        <w:tabs>
          <w:tab w:val="left" w:pos="360"/>
        </w:tabs>
        <w:spacing w:before="120" w:after="120" w:line="240" w:lineRule="auto"/>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Citu dokumentāciju, kas raksturo sanācijas darbu kvantitāti un kvalitāti</w:t>
      </w:r>
      <w:r w:rsidR="00252811">
        <w:rPr>
          <w:rFonts w:ascii="Times New Roman" w:hAnsi="Times New Roman" w:cs="Times New Roman"/>
          <w:color w:val="000000" w:themeColor="text1"/>
          <w:sz w:val="24"/>
          <w:szCs w:val="24"/>
        </w:rPr>
        <w:t>.</w:t>
      </w:r>
    </w:p>
    <w:p w14:paraId="5ECA627B" w14:textId="77777777" w:rsidR="007D7702" w:rsidRPr="002C640A" w:rsidRDefault="007D7702" w:rsidP="007D7702">
      <w:pPr>
        <w:tabs>
          <w:tab w:val="left" w:pos="360"/>
        </w:tabs>
        <w:spacing w:before="120" w:after="120"/>
        <w:ind w:left="720"/>
        <w:jc w:val="both"/>
        <w:rPr>
          <w:rFonts w:ascii="Times New Roman" w:hAnsi="Times New Roman" w:cs="Times New Roman"/>
          <w:color w:val="000000" w:themeColor="text1"/>
          <w:sz w:val="24"/>
          <w:szCs w:val="24"/>
        </w:rPr>
      </w:pPr>
    </w:p>
    <w:p w14:paraId="1530F243" w14:textId="77777777" w:rsidR="007D7702" w:rsidRPr="002C640A" w:rsidRDefault="007D7702" w:rsidP="007D7702">
      <w:pPr>
        <w:pStyle w:val="ListParagraph"/>
        <w:numPr>
          <w:ilvl w:val="0"/>
          <w:numId w:val="4"/>
        </w:numPr>
        <w:spacing w:after="0" w:line="240" w:lineRule="auto"/>
        <w:rPr>
          <w:rFonts w:ascii="Times New Roman" w:hAnsi="Times New Roman"/>
          <w:b/>
          <w:sz w:val="24"/>
          <w:szCs w:val="24"/>
        </w:rPr>
      </w:pPr>
      <w:r w:rsidRPr="002C640A">
        <w:rPr>
          <w:rFonts w:ascii="Times New Roman" w:hAnsi="Times New Roman"/>
          <w:b/>
          <w:sz w:val="24"/>
          <w:szCs w:val="24"/>
        </w:rPr>
        <w:t>Monitoringa pasākumi sanācijas darbu laikā</w:t>
      </w:r>
    </w:p>
    <w:p w14:paraId="11CAA532" w14:textId="1BC98497" w:rsidR="007D7702" w:rsidRDefault="007D7702" w:rsidP="007D7702">
      <w:pPr>
        <w:spacing w:before="120" w:after="120"/>
        <w:jc w:val="both"/>
        <w:rPr>
          <w:rStyle w:val="Noklusjumarindkopasfonts1"/>
          <w:rFonts w:ascii="Times New Roman" w:hAnsi="Times New Roman" w:cs="Times New Roman"/>
          <w:sz w:val="24"/>
          <w:szCs w:val="24"/>
        </w:rPr>
      </w:pPr>
      <w:r w:rsidRPr="002C640A">
        <w:rPr>
          <w:rStyle w:val="Noklusjumarindkopasfonts1"/>
          <w:rFonts w:ascii="Times New Roman" w:hAnsi="Times New Roman" w:cs="Times New Roman"/>
          <w:sz w:val="24"/>
          <w:szCs w:val="24"/>
        </w:rPr>
        <w:t xml:space="preserve">Vides kvalitātes monitorings ir sanācijas darbu sastāvdaļa un tiek izpildīts par sanācijas darbu izpildītāja līdzekļiem. Pirms darbu uzsākšanas jāsagatavo vides monitoringa programma un jāsaskaņo ar </w:t>
      </w:r>
      <w:r w:rsidRPr="002C640A">
        <w:rPr>
          <w:rFonts w:ascii="Times New Roman" w:hAnsi="Times New Roman" w:cs="Times New Roman"/>
          <w:sz w:val="24"/>
          <w:szCs w:val="24"/>
        </w:rPr>
        <w:t>darbu pasūtītāju</w:t>
      </w:r>
      <w:r>
        <w:rPr>
          <w:rStyle w:val="Noklusjumarindkopasfonts1"/>
          <w:rFonts w:ascii="Times New Roman" w:hAnsi="Times New Roman" w:cs="Times New Roman"/>
          <w:sz w:val="24"/>
          <w:szCs w:val="24"/>
        </w:rPr>
        <w:t xml:space="preserve"> </w:t>
      </w:r>
      <w:r w:rsidRPr="002C640A">
        <w:rPr>
          <w:rStyle w:val="Noklusjumarindkopasfonts1"/>
          <w:rFonts w:ascii="Times New Roman" w:hAnsi="Times New Roman" w:cs="Times New Roman"/>
          <w:sz w:val="24"/>
          <w:szCs w:val="24"/>
        </w:rPr>
        <w:t xml:space="preserve">un Valsts vides dienesta </w:t>
      </w:r>
      <w:r w:rsidR="00252811">
        <w:rPr>
          <w:rStyle w:val="Noklusjumarindkopasfonts1"/>
          <w:rFonts w:ascii="Times New Roman" w:hAnsi="Times New Roman" w:cs="Times New Roman"/>
          <w:sz w:val="24"/>
          <w:szCs w:val="24"/>
        </w:rPr>
        <w:t>Kurzemes</w:t>
      </w:r>
      <w:r w:rsidRPr="002C640A">
        <w:rPr>
          <w:rStyle w:val="Noklusjumarindkopasfonts1"/>
          <w:rFonts w:ascii="Times New Roman" w:hAnsi="Times New Roman" w:cs="Times New Roman"/>
          <w:sz w:val="24"/>
          <w:szCs w:val="24"/>
        </w:rPr>
        <w:t xml:space="preserve"> reģionālo vides pārvaldi (turpmāk – </w:t>
      </w:r>
      <w:r w:rsidR="00252811">
        <w:rPr>
          <w:rStyle w:val="Noklusjumarindkopasfonts1"/>
          <w:rFonts w:ascii="Times New Roman" w:hAnsi="Times New Roman" w:cs="Times New Roman"/>
          <w:sz w:val="24"/>
          <w:szCs w:val="24"/>
        </w:rPr>
        <w:t>Kurzemes</w:t>
      </w:r>
      <w:r w:rsidRPr="002C640A">
        <w:rPr>
          <w:rStyle w:val="Noklusjumarindkopasfonts1"/>
          <w:rFonts w:ascii="Times New Roman" w:hAnsi="Times New Roman" w:cs="Times New Roman"/>
          <w:sz w:val="24"/>
          <w:szCs w:val="24"/>
        </w:rPr>
        <w:t xml:space="preserve"> RVP).</w:t>
      </w:r>
      <w:r w:rsidRPr="002C640A">
        <w:rPr>
          <w:rFonts w:ascii="Times New Roman" w:hAnsi="Times New Roman" w:cs="Times New Roman"/>
          <w:sz w:val="24"/>
          <w:szCs w:val="24"/>
        </w:rPr>
        <w:t xml:space="preserve"> </w:t>
      </w:r>
      <w:r w:rsidRPr="002C640A">
        <w:rPr>
          <w:rStyle w:val="Noklusjumarindkopasfonts1"/>
          <w:rFonts w:ascii="Times New Roman" w:hAnsi="Times New Roman" w:cs="Times New Roman"/>
          <w:sz w:val="24"/>
          <w:szCs w:val="24"/>
        </w:rPr>
        <w:t xml:space="preserve">Vides monitoringa programma paredz kārtību, kādā jāveic pazemes ūdeņu, notekūdeņu, atkritumu, gaisa un virszemes ūdeņu monitorings sanācijas darbu izpildes gaitā. </w:t>
      </w:r>
      <w:r w:rsidRPr="002C640A">
        <w:rPr>
          <w:rFonts w:ascii="Times New Roman" w:hAnsi="Times New Roman" w:cs="Times New Roman"/>
          <w:sz w:val="24"/>
          <w:szCs w:val="24"/>
        </w:rPr>
        <w:t>Monitorings jāveic atbilstoši LR normatīvo aktu prasībām.</w:t>
      </w:r>
      <w:bookmarkStart w:id="4" w:name="_Toc89348793"/>
      <w:bookmarkStart w:id="5" w:name="_Toc116248091"/>
    </w:p>
    <w:p w14:paraId="222622CD" w14:textId="77777777" w:rsidR="007D7702" w:rsidRPr="002C640A" w:rsidRDefault="007D7702" w:rsidP="007D7702">
      <w:pPr>
        <w:pStyle w:val="ListParagraph"/>
        <w:numPr>
          <w:ilvl w:val="0"/>
          <w:numId w:val="4"/>
        </w:numPr>
        <w:spacing w:before="120" w:after="0" w:line="240" w:lineRule="auto"/>
        <w:ind w:left="357" w:hanging="357"/>
        <w:rPr>
          <w:rFonts w:ascii="Times New Roman" w:hAnsi="Times New Roman"/>
          <w:b/>
          <w:sz w:val="24"/>
          <w:szCs w:val="24"/>
        </w:rPr>
      </w:pPr>
      <w:r w:rsidRPr="002C640A">
        <w:rPr>
          <w:rFonts w:ascii="Times New Roman" w:hAnsi="Times New Roman"/>
          <w:b/>
          <w:sz w:val="24"/>
          <w:szCs w:val="24"/>
        </w:rPr>
        <w:t>Risku izvērtējums un risku vadība</w:t>
      </w:r>
    </w:p>
    <w:p w14:paraId="2C11D396" w14:textId="77777777" w:rsidR="007D7702" w:rsidRPr="002C640A" w:rsidRDefault="007D7702" w:rsidP="007D7702">
      <w:pPr>
        <w:spacing w:before="120" w:after="120"/>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Šajā sadaļā Pretendentam jāiesniedz risku izvērtējums un veicamie pasākumi to mazināšanai/novēršanai. Pretendentam jāizvērtē un jāanalizē vismaz šādi specifiskie riski:</w:t>
      </w:r>
    </w:p>
    <w:p w14:paraId="42EEF569" w14:textId="77777777" w:rsidR="007D7702" w:rsidRPr="002C640A" w:rsidRDefault="007D7702" w:rsidP="007D7702">
      <w:pPr>
        <w:pStyle w:val="ListParagraph"/>
        <w:numPr>
          <w:ilvl w:val="0"/>
          <w:numId w:val="5"/>
        </w:numPr>
        <w:spacing w:before="120" w:after="120" w:line="240" w:lineRule="auto"/>
        <w:jc w:val="both"/>
        <w:rPr>
          <w:rFonts w:ascii="Times New Roman" w:hAnsi="Times New Roman"/>
          <w:color w:val="000000" w:themeColor="text1"/>
          <w:sz w:val="24"/>
          <w:szCs w:val="24"/>
        </w:rPr>
      </w:pPr>
      <w:r w:rsidRPr="002C640A">
        <w:rPr>
          <w:rFonts w:ascii="Times New Roman" w:hAnsi="Times New Roman"/>
          <w:color w:val="000000" w:themeColor="text1"/>
          <w:sz w:val="24"/>
          <w:szCs w:val="24"/>
        </w:rPr>
        <w:t xml:space="preserve">Apjomu risks, ievērojot to, ka faktiskais apjoms būs zināms tikai pēc </w:t>
      </w:r>
      <w:r>
        <w:rPr>
          <w:rFonts w:ascii="Times New Roman" w:hAnsi="Times New Roman"/>
          <w:color w:val="000000" w:themeColor="text1"/>
          <w:sz w:val="24"/>
          <w:szCs w:val="24"/>
        </w:rPr>
        <w:t>sanācijas</w:t>
      </w:r>
      <w:r w:rsidRPr="002C640A">
        <w:rPr>
          <w:rFonts w:ascii="Times New Roman" w:hAnsi="Times New Roman"/>
          <w:color w:val="000000" w:themeColor="text1"/>
          <w:sz w:val="24"/>
          <w:szCs w:val="24"/>
        </w:rPr>
        <w:t xml:space="preserve"> pilnīgas pabeigšanas.</w:t>
      </w:r>
    </w:p>
    <w:p w14:paraId="6449A7C4" w14:textId="25DA743F" w:rsidR="007D7702" w:rsidRPr="002C640A" w:rsidRDefault="007D7702" w:rsidP="007D7702">
      <w:pPr>
        <w:pStyle w:val="ListParagraph"/>
        <w:numPr>
          <w:ilvl w:val="0"/>
          <w:numId w:val="5"/>
        </w:numPr>
        <w:spacing w:before="120" w:after="120" w:line="240" w:lineRule="auto"/>
        <w:jc w:val="both"/>
        <w:rPr>
          <w:rFonts w:ascii="Times New Roman" w:hAnsi="Times New Roman"/>
          <w:color w:val="000000" w:themeColor="text1"/>
          <w:sz w:val="24"/>
          <w:szCs w:val="24"/>
        </w:rPr>
      </w:pPr>
      <w:r w:rsidRPr="002C640A">
        <w:rPr>
          <w:rFonts w:ascii="Times New Roman" w:hAnsi="Times New Roman"/>
          <w:color w:val="000000" w:themeColor="text1"/>
          <w:sz w:val="24"/>
          <w:szCs w:val="24"/>
        </w:rPr>
        <w:t xml:space="preserve">tehnoloģiskie riski, </w:t>
      </w:r>
      <w:r w:rsidRPr="002C640A">
        <w:rPr>
          <w:rFonts w:ascii="Times New Roman" w:hAnsi="Times New Roman"/>
          <w:sz w:val="24"/>
          <w:szCs w:val="24"/>
        </w:rPr>
        <w:t xml:space="preserve">t.sk. </w:t>
      </w:r>
      <w:r w:rsidRPr="002C640A">
        <w:rPr>
          <w:rFonts w:ascii="Times New Roman" w:hAnsi="Times New Roman"/>
          <w:color w:val="000000" w:themeColor="text1"/>
          <w:sz w:val="24"/>
          <w:szCs w:val="24"/>
        </w:rPr>
        <w:t>utilizējamā materiāla transportēšana</w:t>
      </w:r>
      <w:r w:rsidR="009B51E5">
        <w:rPr>
          <w:rFonts w:ascii="Times New Roman" w:hAnsi="Times New Roman"/>
          <w:color w:val="000000" w:themeColor="text1"/>
          <w:sz w:val="24"/>
          <w:szCs w:val="24"/>
        </w:rPr>
        <w:t>/in -situ reģenerācija</w:t>
      </w:r>
      <w:r w:rsidRPr="002C640A">
        <w:rPr>
          <w:rFonts w:ascii="Times New Roman" w:hAnsi="Times New Roman"/>
          <w:color w:val="000000" w:themeColor="text1"/>
          <w:sz w:val="24"/>
          <w:szCs w:val="24"/>
        </w:rPr>
        <w:t xml:space="preserve">, izvērtējot iespējamo </w:t>
      </w:r>
      <w:r w:rsidRPr="002C640A">
        <w:rPr>
          <w:rFonts w:ascii="Times New Roman" w:hAnsi="Times New Roman"/>
          <w:sz w:val="24"/>
          <w:szCs w:val="24"/>
        </w:rPr>
        <w:t>pārstrādes jaudu nepietiekamību, iespējamos iekārtu bojājumus, tehnoloģiskos pārtraukumus, neatbilstošas kvalitātes izejvielas, u.tml.</w:t>
      </w:r>
      <w:r w:rsidRPr="002C640A">
        <w:rPr>
          <w:rFonts w:ascii="Times New Roman" w:hAnsi="Times New Roman"/>
          <w:color w:val="000000" w:themeColor="text1"/>
          <w:sz w:val="24"/>
          <w:szCs w:val="24"/>
        </w:rPr>
        <w:t xml:space="preserve"> </w:t>
      </w:r>
    </w:p>
    <w:p w14:paraId="78B5F63F" w14:textId="77777777" w:rsidR="007D7702" w:rsidRPr="002C640A" w:rsidRDefault="007D7702" w:rsidP="007D7702">
      <w:pPr>
        <w:pStyle w:val="RixL2"/>
        <w:jc w:val="both"/>
        <w:rPr>
          <w:b w:val="0"/>
          <w:sz w:val="24"/>
          <w:szCs w:val="24"/>
        </w:rPr>
      </w:pPr>
      <w:r w:rsidRPr="002C640A">
        <w:rPr>
          <w:b w:val="0"/>
          <w:sz w:val="24"/>
          <w:szCs w:val="24"/>
        </w:rPr>
        <w:t xml:space="preserve">Risku vadības izvērtējumā Pretendents demonstrē spēju risku iestāšanās gadījumā iekļauties piedāvātajā līgumcenā un termiņā. </w:t>
      </w:r>
    </w:p>
    <w:p w14:paraId="6E0C3C04" w14:textId="77777777" w:rsidR="007D7702" w:rsidRPr="002C640A" w:rsidRDefault="007D7702" w:rsidP="007D7702">
      <w:pPr>
        <w:pStyle w:val="ListParagraph"/>
        <w:numPr>
          <w:ilvl w:val="0"/>
          <w:numId w:val="4"/>
        </w:numPr>
        <w:spacing w:after="120" w:line="240" w:lineRule="auto"/>
        <w:ind w:left="357" w:hanging="357"/>
        <w:rPr>
          <w:rFonts w:ascii="Times New Roman" w:hAnsi="Times New Roman"/>
          <w:b/>
          <w:sz w:val="24"/>
          <w:szCs w:val="24"/>
        </w:rPr>
      </w:pPr>
      <w:r w:rsidRPr="002C640A">
        <w:rPr>
          <w:rFonts w:ascii="Times New Roman" w:hAnsi="Times New Roman"/>
          <w:b/>
          <w:sz w:val="24"/>
          <w:szCs w:val="24"/>
        </w:rPr>
        <w:t xml:space="preserve">Sanācijas programmas projekts </w:t>
      </w:r>
    </w:p>
    <w:p w14:paraId="66674908" w14:textId="7D402198" w:rsidR="007D7702" w:rsidRPr="002C640A" w:rsidRDefault="007D7702" w:rsidP="007D7702">
      <w:pPr>
        <w:jc w:val="both"/>
        <w:rPr>
          <w:rFonts w:ascii="Times New Roman" w:hAnsi="Times New Roman" w:cs="Times New Roman"/>
          <w:sz w:val="24"/>
          <w:szCs w:val="24"/>
        </w:rPr>
      </w:pPr>
      <w:r w:rsidRPr="002C640A">
        <w:rPr>
          <w:rFonts w:ascii="Times New Roman" w:hAnsi="Times New Roman" w:cs="Times New Roman"/>
          <w:color w:val="000000" w:themeColor="text1"/>
          <w:sz w:val="24"/>
          <w:szCs w:val="24"/>
        </w:rPr>
        <w:t xml:space="preserve">Sanācijas programmas projektu Pretendents sagatavo </w:t>
      </w:r>
      <w:r>
        <w:rPr>
          <w:rFonts w:ascii="Times New Roman" w:hAnsi="Times New Roman" w:cs="Times New Roman"/>
          <w:color w:val="000000" w:themeColor="text1"/>
          <w:sz w:val="24"/>
          <w:szCs w:val="24"/>
        </w:rPr>
        <w:t xml:space="preserve">saskaņā ar </w:t>
      </w:r>
      <w:r w:rsidRPr="002C640A">
        <w:rPr>
          <w:rFonts w:ascii="Times New Roman" w:hAnsi="Times New Roman" w:cs="Times New Roman"/>
          <w:sz w:val="24"/>
          <w:szCs w:val="24"/>
        </w:rPr>
        <w:t xml:space="preserve">likuma “Par </w:t>
      </w:r>
      <w:r>
        <w:rPr>
          <w:rFonts w:ascii="Times New Roman" w:hAnsi="Times New Roman" w:cs="Times New Roman"/>
          <w:sz w:val="24"/>
          <w:szCs w:val="24"/>
        </w:rPr>
        <w:t xml:space="preserve">piesārņojumu” 44.pantu. </w:t>
      </w:r>
      <w:r w:rsidRPr="002C640A">
        <w:rPr>
          <w:rFonts w:ascii="Times New Roman" w:hAnsi="Times New Roman" w:cs="Times New Roman"/>
          <w:sz w:val="24"/>
          <w:szCs w:val="24"/>
        </w:rPr>
        <w:t>Pretendentam jāņem vērā, ka iepirkuma līguma noslēgšana nenozīmē sanācijas programmas apstiprināšanu. Sanācijas programmu apstiprina atbildīgā institūcija likuma “Par piesārņojumu” noteiktajā kārtībā.</w:t>
      </w:r>
    </w:p>
    <w:p w14:paraId="2659436B" w14:textId="4A738FD2" w:rsidR="007D7702" w:rsidRPr="002C640A" w:rsidRDefault="000D3D47" w:rsidP="007D7702">
      <w:pPr>
        <w:pStyle w:val="RixL1"/>
        <w:numPr>
          <w:ilvl w:val="0"/>
          <w:numId w:val="4"/>
        </w:numPr>
        <w:spacing w:before="120" w:after="120"/>
        <w:contextualSpacing w:val="0"/>
        <w:rPr>
          <w:color w:val="000000" w:themeColor="text1"/>
          <w:lang w:val="lv-LV"/>
        </w:rPr>
      </w:pPr>
      <w:bookmarkStart w:id="6" w:name="_Toc254168917"/>
      <w:bookmarkEnd w:id="4"/>
      <w:bookmarkEnd w:id="5"/>
      <w:r>
        <w:rPr>
          <w:color w:val="000000" w:themeColor="text1"/>
          <w:lang w:val="lv-LV"/>
        </w:rPr>
        <w:t>Sagatavošanās</w:t>
      </w:r>
      <w:r w:rsidR="007D7702" w:rsidRPr="002C640A">
        <w:rPr>
          <w:color w:val="000000" w:themeColor="text1"/>
          <w:lang w:val="lv-LV"/>
        </w:rPr>
        <w:t xml:space="preserve"> darbu apraksts</w:t>
      </w:r>
    </w:p>
    <w:p w14:paraId="497C3451" w14:textId="4378D1C2" w:rsidR="007D7702" w:rsidRPr="002C640A" w:rsidRDefault="007D7702" w:rsidP="007D7702">
      <w:pPr>
        <w:spacing w:after="120"/>
        <w:jc w:val="both"/>
        <w:rPr>
          <w:rFonts w:ascii="Times New Roman" w:hAnsi="Times New Roman" w:cs="Times New Roman"/>
          <w:b/>
          <w:sz w:val="24"/>
          <w:szCs w:val="24"/>
        </w:rPr>
      </w:pPr>
      <w:r w:rsidRPr="002C640A">
        <w:rPr>
          <w:rFonts w:ascii="Times New Roman" w:hAnsi="Times New Roman" w:cs="Times New Roman"/>
          <w:sz w:val="24"/>
          <w:szCs w:val="24"/>
        </w:rPr>
        <w:t xml:space="preserve">Šī apraksta rezultātā Pasūtītājs sagaida metodiku, kurā Pretendents šajā sadaļā pierāda izpratni par veicamajiem </w:t>
      </w:r>
      <w:r w:rsidR="00CE60D3">
        <w:rPr>
          <w:rFonts w:ascii="Times New Roman" w:hAnsi="Times New Roman" w:cs="Times New Roman"/>
          <w:sz w:val="24"/>
          <w:szCs w:val="24"/>
        </w:rPr>
        <w:t>sanācijas d</w:t>
      </w:r>
      <w:r w:rsidRPr="002C640A">
        <w:rPr>
          <w:rFonts w:ascii="Times New Roman" w:hAnsi="Times New Roman" w:cs="Times New Roman"/>
          <w:sz w:val="24"/>
          <w:szCs w:val="24"/>
        </w:rPr>
        <w:t xml:space="preserve">arbiem un ir detalizēti izvērtējis savus riskus </w:t>
      </w:r>
      <w:r w:rsidR="000D3D47">
        <w:rPr>
          <w:rFonts w:ascii="Times New Roman" w:hAnsi="Times New Roman" w:cs="Times New Roman"/>
          <w:sz w:val="24"/>
          <w:szCs w:val="24"/>
        </w:rPr>
        <w:t>sagatavošanās darbu</w:t>
      </w:r>
      <w:r w:rsidRPr="002C640A">
        <w:rPr>
          <w:rFonts w:ascii="Times New Roman" w:hAnsi="Times New Roman" w:cs="Times New Roman"/>
          <w:sz w:val="24"/>
          <w:szCs w:val="24"/>
        </w:rPr>
        <w:t xml:space="preserve"> stadijā.</w:t>
      </w:r>
    </w:p>
    <w:p w14:paraId="0C2BE7B0" w14:textId="3CA3D22C" w:rsidR="007D7702" w:rsidRPr="0071616D" w:rsidRDefault="007D7702" w:rsidP="0071616D">
      <w:pPr>
        <w:spacing w:after="120"/>
        <w:jc w:val="both"/>
        <w:rPr>
          <w:rFonts w:ascii="Times New Roman" w:hAnsi="Times New Roman" w:cs="Times New Roman"/>
          <w:sz w:val="24"/>
          <w:szCs w:val="24"/>
        </w:rPr>
      </w:pPr>
      <w:r w:rsidRPr="002C640A">
        <w:rPr>
          <w:rFonts w:ascii="Times New Roman" w:hAnsi="Times New Roman" w:cs="Times New Roman"/>
          <w:sz w:val="24"/>
          <w:szCs w:val="24"/>
        </w:rPr>
        <w:t>Šajā sadaļā detalizēti jāapraksta plānotās izpētes</w:t>
      </w:r>
      <w:r w:rsidR="00CE60D3">
        <w:rPr>
          <w:rFonts w:ascii="Times New Roman" w:hAnsi="Times New Roman" w:cs="Times New Roman"/>
          <w:sz w:val="24"/>
          <w:szCs w:val="24"/>
        </w:rPr>
        <w:t xml:space="preserve"> (ja attiecināms)</w:t>
      </w:r>
      <w:r w:rsidRPr="002C640A">
        <w:rPr>
          <w:rFonts w:ascii="Times New Roman" w:hAnsi="Times New Roman" w:cs="Times New Roman"/>
          <w:sz w:val="24"/>
          <w:szCs w:val="24"/>
        </w:rPr>
        <w:t xml:space="preserve">, lai pārliecinātos par Pasūtītāja sniegto datu pareizību, jāapraksta nepieciešamās saskaņošanas darbības gan </w:t>
      </w:r>
      <w:r w:rsidR="000D3D47">
        <w:rPr>
          <w:rFonts w:ascii="Times New Roman" w:hAnsi="Times New Roman" w:cs="Times New Roman"/>
          <w:sz w:val="24"/>
          <w:szCs w:val="24"/>
        </w:rPr>
        <w:t>sagatavošanās</w:t>
      </w:r>
      <w:r w:rsidRPr="002C640A">
        <w:rPr>
          <w:rFonts w:ascii="Times New Roman" w:hAnsi="Times New Roman" w:cs="Times New Roman"/>
          <w:sz w:val="24"/>
          <w:szCs w:val="24"/>
        </w:rPr>
        <w:t xml:space="preserve"> laikā plānotajiem sanācijas darbiem, gan būvdarbiem</w:t>
      </w:r>
      <w:r w:rsidR="000D3D47">
        <w:rPr>
          <w:rFonts w:ascii="Times New Roman" w:hAnsi="Times New Roman" w:cs="Times New Roman"/>
          <w:sz w:val="24"/>
          <w:szCs w:val="24"/>
        </w:rPr>
        <w:t>, ja tādi plānoti</w:t>
      </w:r>
      <w:r w:rsidRPr="002C640A">
        <w:rPr>
          <w:rFonts w:ascii="Times New Roman" w:hAnsi="Times New Roman" w:cs="Times New Roman"/>
          <w:sz w:val="24"/>
          <w:szCs w:val="24"/>
        </w:rPr>
        <w:t xml:space="preserve">. </w:t>
      </w:r>
    </w:p>
    <w:p w14:paraId="152C46D5" w14:textId="77777777" w:rsidR="007D7702" w:rsidRPr="002C640A" w:rsidRDefault="007D7702" w:rsidP="007D7702">
      <w:pPr>
        <w:pStyle w:val="RixL1"/>
        <w:numPr>
          <w:ilvl w:val="0"/>
          <w:numId w:val="4"/>
        </w:numPr>
        <w:rPr>
          <w:lang w:val="lv-LV"/>
        </w:rPr>
      </w:pPr>
      <w:bookmarkStart w:id="7" w:name="_Toc254168918"/>
      <w:bookmarkEnd w:id="6"/>
      <w:r w:rsidRPr="002C640A">
        <w:rPr>
          <w:lang w:val="lv-LV"/>
        </w:rPr>
        <w:lastRenderedPageBreak/>
        <w:t>Darbu izpildes laika grafiks</w:t>
      </w:r>
      <w:bookmarkEnd w:id="7"/>
      <w:r w:rsidRPr="002C640A">
        <w:rPr>
          <w:lang w:val="lv-LV"/>
        </w:rPr>
        <w:t xml:space="preserve"> </w:t>
      </w:r>
    </w:p>
    <w:p w14:paraId="5EA614A5" w14:textId="60E6B5F1" w:rsidR="007D7702" w:rsidRPr="002C640A" w:rsidRDefault="007D7702" w:rsidP="007D7702">
      <w:pPr>
        <w:spacing w:before="120" w:after="120"/>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 xml:space="preserve">Darbu izpildes laika grafiku sagatavo atbilstoši </w:t>
      </w:r>
      <w:r w:rsidRPr="002C640A">
        <w:rPr>
          <w:rFonts w:ascii="Times New Roman" w:hAnsi="Times New Roman" w:cs="Times New Roman"/>
          <w:sz w:val="24"/>
          <w:szCs w:val="24"/>
        </w:rPr>
        <w:t>„Finanšu piedāvājuma veidne”</w:t>
      </w:r>
      <w:r w:rsidRPr="002C640A">
        <w:rPr>
          <w:rFonts w:ascii="Times New Roman" w:hAnsi="Times New Roman" w:cs="Times New Roman"/>
          <w:color w:val="000000" w:themeColor="text1"/>
          <w:sz w:val="24"/>
          <w:szCs w:val="24"/>
        </w:rPr>
        <w:t xml:space="preserve"> veidnes pamatpozīcijām, tās detalizējot atbilstoši Pretendenta piedāvātajai tehnoloģijai, ko Pretendents aprakstījis atbilstoši šo vadlīniju </w:t>
      </w:r>
      <w:r w:rsidR="00C565D7">
        <w:rPr>
          <w:rFonts w:ascii="Times New Roman" w:hAnsi="Times New Roman" w:cs="Times New Roman"/>
          <w:color w:val="000000" w:themeColor="text1"/>
          <w:sz w:val="24"/>
          <w:szCs w:val="24"/>
        </w:rPr>
        <w:t>1</w:t>
      </w:r>
      <w:r w:rsidRPr="002C640A">
        <w:rPr>
          <w:rFonts w:ascii="Times New Roman" w:hAnsi="Times New Roman" w:cs="Times New Roman"/>
          <w:color w:val="000000" w:themeColor="text1"/>
          <w:sz w:val="24"/>
          <w:szCs w:val="24"/>
        </w:rPr>
        <w:t xml:space="preserve">. punkta nosacījumiem. Šim darbu izpildes grafikam skaidri jāparāda dažādo pasākumu hronoloģija un ilgums pa kalendārajām dienām, kas nepieciešams visu darba uzdevumu veikšanai un tam jābalstās uz </w:t>
      </w:r>
      <w:r>
        <w:rPr>
          <w:rFonts w:ascii="Times New Roman" w:hAnsi="Times New Roman" w:cs="Times New Roman"/>
          <w:color w:val="000000" w:themeColor="text1"/>
          <w:sz w:val="24"/>
          <w:szCs w:val="24"/>
        </w:rPr>
        <w:t>Tehniskajām specifikācijām</w:t>
      </w:r>
      <w:r w:rsidRPr="002C640A">
        <w:rPr>
          <w:rFonts w:ascii="Times New Roman" w:hAnsi="Times New Roman" w:cs="Times New Roman"/>
          <w:color w:val="000000" w:themeColor="text1"/>
          <w:sz w:val="24"/>
          <w:szCs w:val="24"/>
        </w:rPr>
        <w:t>.</w:t>
      </w:r>
    </w:p>
    <w:p w14:paraId="2472F1C8" w14:textId="120DEF6C" w:rsidR="007D7702" w:rsidRDefault="007D7702" w:rsidP="007D7702">
      <w:pPr>
        <w:spacing w:before="120" w:after="120"/>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 xml:space="preserve">Īpaša uzmanība jāpievērš darbību atspoguļošanai, kas var atstāt ietekmi uz projekta īstenošanas termiņu. Laika grafikā atspoguļo visas paredzētās darbības, akcentējot tās, kas var būt likuma „Par ietekmes uz vidi novērtējuma” priekšmets vai likuma „Par piesārņojumu” aprakstīto piesārņojošo darbību priekšmets. </w:t>
      </w:r>
    </w:p>
    <w:p w14:paraId="774868DD" w14:textId="023C2698" w:rsidR="007D7702" w:rsidRPr="002C640A" w:rsidRDefault="007D7702" w:rsidP="007D7702">
      <w:pPr>
        <w:spacing w:before="120" w:after="120"/>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Darba grafikam jāatbilst Latvijas Republikas normatīvajos aktos noteiktajiem termiņiem noteiktu darbību un pasākumu saskaņošanai ar valsts iestādēm un precīzi jāatspoguļo šie soļi. Pretendentam arī jāapraksta termiņi, kādos informē Pasūtītāju par veiktajiem sanācijas pasākumiem.</w:t>
      </w:r>
    </w:p>
    <w:p w14:paraId="1CB6CED0" w14:textId="77777777" w:rsidR="007D7702" w:rsidRPr="002C640A" w:rsidRDefault="007D7702" w:rsidP="007D7702">
      <w:pPr>
        <w:pStyle w:val="RixL1"/>
        <w:numPr>
          <w:ilvl w:val="0"/>
          <w:numId w:val="4"/>
        </w:numPr>
        <w:rPr>
          <w:lang w:val="lv-LV"/>
        </w:rPr>
      </w:pPr>
      <w:bookmarkStart w:id="8" w:name="_Toc254168922"/>
      <w:r w:rsidRPr="002C640A">
        <w:rPr>
          <w:lang w:val="lv-LV"/>
        </w:rPr>
        <w:t xml:space="preserve">Vides aizsardzības </w:t>
      </w:r>
      <w:bookmarkEnd w:id="8"/>
      <w:r w:rsidRPr="002C640A">
        <w:rPr>
          <w:lang w:val="lv-LV"/>
        </w:rPr>
        <w:t xml:space="preserve">pasākumu plāns </w:t>
      </w:r>
    </w:p>
    <w:p w14:paraId="2C28D4CF" w14:textId="7A45BB4D" w:rsidR="007D7702" w:rsidRPr="002C640A" w:rsidRDefault="007D7702" w:rsidP="007D7702">
      <w:pPr>
        <w:spacing w:before="120" w:after="120"/>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 xml:space="preserve">Vides aizsardzības pasākumu plāna mērķis ir atspoguļot Pretendenta darbības, ko tas veiks, lai novērtētu un novērstu apkārtējās vides pasliktināšanos darbu izpildes vietā un tās apkārtnē </w:t>
      </w:r>
      <w:r w:rsidR="00C565D7">
        <w:rPr>
          <w:rFonts w:ascii="Times New Roman" w:hAnsi="Times New Roman" w:cs="Times New Roman"/>
          <w:color w:val="000000" w:themeColor="text1"/>
          <w:sz w:val="24"/>
          <w:szCs w:val="24"/>
        </w:rPr>
        <w:t>d</w:t>
      </w:r>
      <w:r w:rsidRPr="002C640A">
        <w:rPr>
          <w:rFonts w:ascii="Times New Roman" w:hAnsi="Times New Roman" w:cs="Times New Roman"/>
          <w:color w:val="000000" w:themeColor="text1"/>
          <w:sz w:val="24"/>
          <w:szCs w:val="24"/>
        </w:rPr>
        <w:t>arbu izpildes laikā, ieskaitot monitoringu sanācijas darbu laikā un pēc sanācijas darbu pabeigšanas. Pretendentam jāapraksta, kā tiks nodrošināts vides monitorings teritorijā (ja nepieciešams, sniedzot nepieciešamās atsauces uz citām sava tehniskā piedāvājuma sadaļām, kurās iekļauta detalizētāka informācija), kuru var ietekmēt piesārņojošā darbība (emisija, infiltrācija gruntsūdeņos, infiltrācija augsnē un apkārtējā vidē u.c.).</w:t>
      </w:r>
    </w:p>
    <w:p w14:paraId="7888755D" w14:textId="77777777" w:rsidR="007D7702" w:rsidRPr="002C640A" w:rsidRDefault="007D7702" w:rsidP="007D7702">
      <w:pPr>
        <w:pStyle w:val="ListParagraph"/>
        <w:numPr>
          <w:ilvl w:val="0"/>
          <w:numId w:val="4"/>
        </w:numPr>
        <w:spacing w:after="0" w:line="240" w:lineRule="auto"/>
        <w:rPr>
          <w:rFonts w:ascii="Times New Roman" w:hAnsi="Times New Roman"/>
          <w:b/>
          <w:sz w:val="24"/>
          <w:szCs w:val="24"/>
        </w:rPr>
      </w:pPr>
      <w:r w:rsidRPr="002C640A">
        <w:rPr>
          <w:rFonts w:ascii="Times New Roman" w:hAnsi="Times New Roman"/>
          <w:b/>
          <w:sz w:val="24"/>
          <w:szCs w:val="24"/>
        </w:rPr>
        <w:t xml:space="preserve">Testēšanas procedūru apraksts sanācijas mērķu izpildes pārbaudei </w:t>
      </w:r>
    </w:p>
    <w:p w14:paraId="260B6AC5" w14:textId="0787B352" w:rsidR="007D7702" w:rsidRPr="002C640A" w:rsidRDefault="007D7702" w:rsidP="007D7702">
      <w:pPr>
        <w:spacing w:before="120" w:after="120"/>
        <w:jc w:val="both"/>
        <w:rPr>
          <w:rStyle w:val="Noklusjumarindkopasfonts1"/>
          <w:rFonts w:ascii="Times New Roman" w:hAnsi="Times New Roman" w:cs="Times New Roman"/>
          <w:sz w:val="24"/>
          <w:szCs w:val="24"/>
        </w:rPr>
      </w:pPr>
      <w:r w:rsidRPr="002C640A">
        <w:rPr>
          <w:rStyle w:val="Noklusjumarindkopasfonts1"/>
          <w:rFonts w:ascii="Times New Roman" w:hAnsi="Times New Roman" w:cs="Times New Roman"/>
          <w:sz w:val="24"/>
          <w:szCs w:val="24"/>
        </w:rPr>
        <w:t>Pretendents piedāvā metodes un procedūras, lai noteiktu sanācijas darbu noslēgumu</w:t>
      </w:r>
      <w:r w:rsidR="00E31E88">
        <w:rPr>
          <w:rStyle w:val="Noklusjumarindkopasfonts1"/>
          <w:rFonts w:ascii="Times New Roman" w:hAnsi="Times New Roman" w:cs="Times New Roman"/>
          <w:sz w:val="24"/>
          <w:szCs w:val="24"/>
        </w:rPr>
        <w:t xml:space="preserve"> (sanācijas darbu mērķa sasniegšanu)</w:t>
      </w:r>
      <w:r w:rsidRPr="002C640A">
        <w:rPr>
          <w:rStyle w:val="Noklusjumarindkopasfonts1"/>
          <w:rFonts w:ascii="Times New Roman" w:hAnsi="Times New Roman" w:cs="Times New Roman"/>
          <w:sz w:val="24"/>
          <w:szCs w:val="24"/>
        </w:rPr>
        <w:t xml:space="preserve">. </w:t>
      </w:r>
    </w:p>
    <w:p w14:paraId="2429B798" w14:textId="77777777" w:rsidR="007D7702" w:rsidRPr="002C640A" w:rsidRDefault="007D7702" w:rsidP="007D7702">
      <w:pPr>
        <w:numPr>
          <w:ilvl w:val="0"/>
          <w:numId w:val="4"/>
        </w:numPr>
        <w:spacing w:before="240" w:after="0" w:line="240" w:lineRule="auto"/>
        <w:contextualSpacing/>
        <w:rPr>
          <w:rFonts w:ascii="Times New Roman" w:hAnsi="Times New Roman" w:cs="Times New Roman"/>
          <w:b/>
          <w:sz w:val="24"/>
          <w:szCs w:val="24"/>
          <w:lang w:val="en-GB"/>
        </w:rPr>
      </w:pPr>
      <w:proofErr w:type="spellStart"/>
      <w:r w:rsidRPr="002C640A">
        <w:rPr>
          <w:rFonts w:ascii="Times New Roman" w:hAnsi="Times New Roman" w:cs="Times New Roman"/>
          <w:b/>
          <w:sz w:val="24"/>
          <w:szCs w:val="24"/>
          <w:lang w:val="en-GB"/>
        </w:rPr>
        <w:t>Naudas</w:t>
      </w:r>
      <w:proofErr w:type="spellEnd"/>
      <w:r w:rsidRPr="002C640A">
        <w:rPr>
          <w:rFonts w:ascii="Times New Roman" w:hAnsi="Times New Roman" w:cs="Times New Roman"/>
          <w:b/>
          <w:sz w:val="24"/>
          <w:szCs w:val="24"/>
          <w:lang w:val="en-GB"/>
        </w:rPr>
        <w:t xml:space="preserve"> </w:t>
      </w:r>
      <w:proofErr w:type="spellStart"/>
      <w:r w:rsidRPr="002C640A">
        <w:rPr>
          <w:rFonts w:ascii="Times New Roman" w:hAnsi="Times New Roman" w:cs="Times New Roman"/>
          <w:b/>
          <w:sz w:val="24"/>
          <w:szCs w:val="24"/>
          <w:lang w:val="en-GB"/>
        </w:rPr>
        <w:t>plūsmas</w:t>
      </w:r>
      <w:proofErr w:type="spellEnd"/>
      <w:r w:rsidRPr="002C640A">
        <w:rPr>
          <w:rFonts w:ascii="Times New Roman" w:hAnsi="Times New Roman" w:cs="Times New Roman"/>
          <w:b/>
          <w:sz w:val="24"/>
          <w:szCs w:val="24"/>
          <w:lang w:val="en-GB"/>
        </w:rPr>
        <w:t xml:space="preserve"> </w:t>
      </w:r>
      <w:proofErr w:type="spellStart"/>
      <w:r w:rsidRPr="002C640A">
        <w:rPr>
          <w:rFonts w:ascii="Times New Roman" w:hAnsi="Times New Roman" w:cs="Times New Roman"/>
          <w:b/>
          <w:sz w:val="24"/>
          <w:szCs w:val="24"/>
          <w:lang w:val="en-GB"/>
        </w:rPr>
        <w:t>grafiks</w:t>
      </w:r>
      <w:proofErr w:type="spellEnd"/>
    </w:p>
    <w:p w14:paraId="6F7517B6" w14:textId="0BFF7101" w:rsidR="007D7702" w:rsidRDefault="007D7702" w:rsidP="007D7702">
      <w:pPr>
        <w:keepNext/>
        <w:keepLines/>
        <w:spacing w:before="120" w:after="120"/>
        <w:jc w:val="both"/>
        <w:rPr>
          <w:rFonts w:ascii="Times New Roman" w:hAnsi="Times New Roman" w:cs="Times New Roman"/>
          <w:color w:val="000000" w:themeColor="text1"/>
          <w:sz w:val="24"/>
          <w:szCs w:val="24"/>
        </w:rPr>
      </w:pPr>
      <w:r w:rsidRPr="002C640A">
        <w:rPr>
          <w:rFonts w:ascii="Times New Roman" w:hAnsi="Times New Roman" w:cs="Times New Roman"/>
          <w:color w:val="000000" w:themeColor="text1"/>
          <w:sz w:val="24"/>
          <w:szCs w:val="24"/>
        </w:rPr>
        <w:t xml:space="preserve">Naudas plūsmas grafikā Pretendents atspoguļo plānoto izpildīto </w:t>
      </w:r>
      <w:r w:rsidR="00B605CA">
        <w:rPr>
          <w:rFonts w:ascii="Times New Roman" w:hAnsi="Times New Roman" w:cs="Times New Roman"/>
          <w:color w:val="000000" w:themeColor="text1"/>
          <w:sz w:val="24"/>
          <w:szCs w:val="24"/>
        </w:rPr>
        <w:t>sanācijas d</w:t>
      </w:r>
      <w:r w:rsidRPr="002C640A">
        <w:rPr>
          <w:rFonts w:ascii="Times New Roman" w:hAnsi="Times New Roman" w:cs="Times New Roman"/>
          <w:color w:val="000000" w:themeColor="text1"/>
          <w:sz w:val="24"/>
          <w:szCs w:val="24"/>
        </w:rPr>
        <w:t xml:space="preserve">arbu vērtību pa </w:t>
      </w:r>
      <w:r w:rsidR="00B605CA">
        <w:rPr>
          <w:rFonts w:ascii="Times New Roman" w:hAnsi="Times New Roman" w:cs="Times New Roman"/>
          <w:color w:val="000000" w:themeColor="text1"/>
          <w:sz w:val="24"/>
          <w:szCs w:val="24"/>
        </w:rPr>
        <w:t>maksājumu periodiem</w:t>
      </w:r>
      <w:r w:rsidRPr="002C640A">
        <w:rPr>
          <w:rFonts w:ascii="Times New Roman" w:hAnsi="Times New Roman" w:cs="Times New Roman"/>
          <w:color w:val="000000" w:themeColor="text1"/>
          <w:sz w:val="24"/>
          <w:szCs w:val="24"/>
        </w:rPr>
        <w:t xml:space="preserve">, maksājumu (starpmaksājumu) pieteikumos ietveramās plānotās pieskaitāmās vai atskaitāmas summas (piemēram, avansu maksājumi un to dzēšana, ieturējumi un to atmaksa) un plānotā summa Pasūtītājam apmaksai. </w:t>
      </w:r>
    </w:p>
    <w:p w14:paraId="619EEC88" w14:textId="2F32B0C2" w:rsidR="00EB6F9F" w:rsidRDefault="00EB6F9F" w:rsidP="00EB6F9F">
      <w:pPr>
        <w:numPr>
          <w:ilvl w:val="0"/>
          <w:numId w:val="4"/>
        </w:numPr>
        <w:spacing w:before="240" w:after="0" w:line="240" w:lineRule="auto"/>
        <w:contextualSpacing/>
        <w:rPr>
          <w:rFonts w:ascii="Times New Roman" w:hAnsi="Times New Roman" w:cs="Times New Roman"/>
          <w:b/>
          <w:sz w:val="24"/>
          <w:szCs w:val="24"/>
          <w:lang w:val="en-GB"/>
        </w:rPr>
      </w:pPr>
      <w:proofErr w:type="spellStart"/>
      <w:r>
        <w:rPr>
          <w:rFonts w:ascii="Times New Roman" w:hAnsi="Times New Roman" w:cs="Times New Roman"/>
          <w:b/>
          <w:sz w:val="24"/>
          <w:szCs w:val="24"/>
          <w:lang w:val="en-GB"/>
        </w:rPr>
        <w:t>Sanācijas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darbu</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garantijas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termiņš</w:t>
      </w:r>
      <w:proofErr w:type="spellEnd"/>
    </w:p>
    <w:p w14:paraId="7654F65F" w14:textId="4D6291A0" w:rsidR="00EB6F9F" w:rsidRPr="002C640A" w:rsidRDefault="00EB6F9F" w:rsidP="007D7702">
      <w:pPr>
        <w:keepNext/>
        <w:keepLines/>
        <w:spacing w:before="120" w:after="120"/>
        <w:jc w:val="both"/>
        <w:rPr>
          <w:rFonts w:ascii="Times New Roman" w:hAnsi="Times New Roman" w:cs="Times New Roman"/>
          <w:color w:val="000000" w:themeColor="text1"/>
          <w:sz w:val="24"/>
          <w:szCs w:val="24"/>
        </w:rPr>
      </w:pPr>
      <w:r w:rsidRPr="00EB6F9F">
        <w:rPr>
          <w:rFonts w:ascii="Times New Roman" w:hAnsi="Times New Roman" w:cs="Times New Roman"/>
          <w:color w:val="000000" w:themeColor="text1"/>
          <w:sz w:val="24"/>
          <w:szCs w:val="24"/>
        </w:rPr>
        <w:t xml:space="preserve">Informācija par piedāvāto </w:t>
      </w:r>
      <w:r>
        <w:rPr>
          <w:rFonts w:ascii="Times New Roman" w:hAnsi="Times New Roman" w:cs="Times New Roman"/>
          <w:color w:val="000000" w:themeColor="text1"/>
          <w:sz w:val="24"/>
          <w:szCs w:val="24"/>
        </w:rPr>
        <w:t>sanācijas</w:t>
      </w:r>
      <w:r w:rsidRPr="00EB6F9F">
        <w:rPr>
          <w:rFonts w:ascii="Times New Roman" w:hAnsi="Times New Roman" w:cs="Times New Roman"/>
          <w:color w:val="000000" w:themeColor="text1"/>
          <w:sz w:val="24"/>
          <w:szCs w:val="24"/>
        </w:rPr>
        <w:t xml:space="preserve"> darbu garantijas termiņu. </w:t>
      </w:r>
      <w:r>
        <w:rPr>
          <w:rFonts w:ascii="Times New Roman" w:hAnsi="Times New Roman" w:cs="Times New Roman"/>
          <w:color w:val="000000" w:themeColor="text1"/>
          <w:sz w:val="24"/>
          <w:szCs w:val="24"/>
        </w:rPr>
        <w:t xml:space="preserve">Sanācijas </w:t>
      </w:r>
      <w:r w:rsidRPr="00EB6F9F">
        <w:rPr>
          <w:rFonts w:ascii="Times New Roman" w:hAnsi="Times New Roman" w:cs="Times New Roman"/>
          <w:color w:val="000000" w:themeColor="text1"/>
          <w:sz w:val="24"/>
          <w:szCs w:val="24"/>
        </w:rPr>
        <w:t xml:space="preserve">darbu garantijas termiņš nevar būt īsāks par </w:t>
      </w:r>
      <w:r w:rsidR="00000A9F">
        <w:rPr>
          <w:rFonts w:ascii="Times New Roman" w:hAnsi="Times New Roman" w:cs="Times New Roman"/>
          <w:color w:val="000000" w:themeColor="text1"/>
          <w:sz w:val="24"/>
          <w:szCs w:val="24"/>
        </w:rPr>
        <w:t>60</w:t>
      </w:r>
      <w:r w:rsidRPr="00EB6F9F">
        <w:rPr>
          <w:rFonts w:ascii="Times New Roman" w:hAnsi="Times New Roman" w:cs="Times New Roman"/>
          <w:color w:val="000000" w:themeColor="text1"/>
          <w:sz w:val="24"/>
          <w:szCs w:val="24"/>
        </w:rPr>
        <w:t xml:space="preserve"> mēnešiem. Klāt </w:t>
      </w:r>
      <w:r>
        <w:rPr>
          <w:rFonts w:ascii="Times New Roman" w:hAnsi="Times New Roman" w:cs="Times New Roman"/>
          <w:color w:val="000000" w:themeColor="text1"/>
          <w:sz w:val="24"/>
          <w:szCs w:val="24"/>
        </w:rPr>
        <w:t>jāpievieno</w:t>
      </w:r>
      <w:r w:rsidRPr="00EB6F9F">
        <w:rPr>
          <w:rFonts w:ascii="Times New Roman" w:hAnsi="Times New Roman" w:cs="Times New Roman"/>
          <w:color w:val="000000" w:themeColor="text1"/>
          <w:sz w:val="24"/>
          <w:szCs w:val="24"/>
        </w:rPr>
        <w:t xml:space="preserve"> apliecinājum</w:t>
      </w:r>
      <w:r>
        <w:rPr>
          <w:rFonts w:ascii="Times New Roman" w:hAnsi="Times New Roman" w:cs="Times New Roman"/>
          <w:color w:val="000000" w:themeColor="text1"/>
          <w:sz w:val="24"/>
          <w:szCs w:val="24"/>
        </w:rPr>
        <w:t>s</w:t>
      </w:r>
      <w:r w:rsidRPr="00EB6F9F">
        <w:rPr>
          <w:rFonts w:ascii="Times New Roman" w:hAnsi="Times New Roman" w:cs="Times New Roman"/>
          <w:color w:val="000000" w:themeColor="text1"/>
          <w:sz w:val="24"/>
          <w:szCs w:val="24"/>
        </w:rPr>
        <w:t>.</w:t>
      </w:r>
    </w:p>
    <w:p w14:paraId="5AE73348" w14:textId="77777777" w:rsidR="007E2C45" w:rsidRDefault="007E2C45"/>
    <w:sectPr w:rsidR="007E2C4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C3A53" w14:textId="77777777" w:rsidR="00BA7BCC" w:rsidRDefault="00BA7BCC" w:rsidP="007D7702">
      <w:pPr>
        <w:spacing w:after="0" w:line="240" w:lineRule="auto"/>
      </w:pPr>
      <w:r>
        <w:separator/>
      </w:r>
    </w:p>
  </w:endnote>
  <w:endnote w:type="continuationSeparator" w:id="0">
    <w:p w14:paraId="53325AB3" w14:textId="77777777" w:rsidR="00BA7BCC" w:rsidRDefault="00BA7BCC" w:rsidP="007D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011092"/>
      <w:docPartObj>
        <w:docPartGallery w:val="Page Numbers (Bottom of Page)"/>
        <w:docPartUnique/>
      </w:docPartObj>
    </w:sdtPr>
    <w:sdtEndPr>
      <w:rPr>
        <w:rFonts w:ascii="Times New Roman" w:hAnsi="Times New Roman" w:cs="Times New Roman"/>
        <w:noProof/>
      </w:rPr>
    </w:sdtEndPr>
    <w:sdtContent>
      <w:p w14:paraId="1642F62F" w14:textId="529C4B70" w:rsidR="00B62B7E" w:rsidRPr="00B62B7E" w:rsidRDefault="00B62B7E">
        <w:pPr>
          <w:pStyle w:val="Footer"/>
          <w:jc w:val="right"/>
          <w:rPr>
            <w:rFonts w:ascii="Times New Roman" w:hAnsi="Times New Roman" w:cs="Times New Roman"/>
          </w:rPr>
        </w:pPr>
        <w:r w:rsidRPr="00B62B7E">
          <w:rPr>
            <w:rFonts w:ascii="Times New Roman" w:hAnsi="Times New Roman" w:cs="Times New Roman"/>
          </w:rPr>
          <w:fldChar w:fldCharType="begin"/>
        </w:r>
        <w:r w:rsidRPr="00B62B7E">
          <w:rPr>
            <w:rFonts w:ascii="Times New Roman" w:hAnsi="Times New Roman" w:cs="Times New Roman"/>
          </w:rPr>
          <w:instrText xml:space="preserve"> PAGE   \* MERGEFORMAT </w:instrText>
        </w:r>
        <w:r w:rsidRPr="00B62B7E">
          <w:rPr>
            <w:rFonts w:ascii="Times New Roman" w:hAnsi="Times New Roman" w:cs="Times New Roman"/>
          </w:rPr>
          <w:fldChar w:fldCharType="separate"/>
        </w:r>
        <w:r w:rsidRPr="00B62B7E">
          <w:rPr>
            <w:rFonts w:ascii="Times New Roman" w:hAnsi="Times New Roman" w:cs="Times New Roman"/>
            <w:noProof/>
          </w:rPr>
          <w:t>2</w:t>
        </w:r>
        <w:r w:rsidRPr="00B62B7E">
          <w:rPr>
            <w:rFonts w:ascii="Times New Roman" w:hAnsi="Times New Roman" w:cs="Times New Roman"/>
            <w:noProof/>
          </w:rPr>
          <w:fldChar w:fldCharType="end"/>
        </w:r>
      </w:p>
    </w:sdtContent>
  </w:sdt>
  <w:p w14:paraId="5BC951FE" w14:textId="77777777" w:rsidR="00B62B7E" w:rsidRDefault="00B6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89BD" w14:textId="77777777" w:rsidR="00BA7BCC" w:rsidRDefault="00BA7BCC" w:rsidP="007D7702">
      <w:pPr>
        <w:spacing w:after="0" w:line="240" w:lineRule="auto"/>
      </w:pPr>
      <w:r>
        <w:separator/>
      </w:r>
    </w:p>
  </w:footnote>
  <w:footnote w:type="continuationSeparator" w:id="0">
    <w:p w14:paraId="16AEB163" w14:textId="77777777" w:rsidR="00BA7BCC" w:rsidRDefault="00BA7BCC" w:rsidP="007D7702">
      <w:pPr>
        <w:spacing w:after="0" w:line="240" w:lineRule="auto"/>
      </w:pPr>
      <w:r>
        <w:continuationSeparator/>
      </w:r>
    </w:p>
  </w:footnote>
  <w:footnote w:id="1">
    <w:p w14:paraId="386E84AC" w14:textId="4F9084C4" w:rsidR="00CE60D3" w:rsidRDefault="00CE60D3">
      <w:pPr>
        <w:pStyle w:val="FootnoteText"/>
      </w:pPr>
      <w:r>
        <w:rPr>
          <w:rStyle w:val="FootnoteReference"/>
        </w:rPr>
        <w:footnoteRef/>
      </w:r>
      <w:r>
        <w:t xml:space="preserve"> </w:t>
      </w:r>
      <w:hyperlink r:id="rId1" w:history="1">
        <w:r w:rsidRPr="00AF3B30">
          <w:rPr>
            <w:rStyle w:val="Hyperlink"/>
          </w:rPr>
          <w:t>https://www.vpvb.gov.lv/lv/vadlinijas?utm_source=https%3A%2F%2Fwww.google.com%2F</w:t>
        </w:r>
      </w:hyperlink>
      <w:r>
        <w:t xml:space="preserve"> </w:t>
      </w:r>
    </w:p>
  </w:footnote>
  <w:footnote w:id="2">
    <w:p w14:paraId="7A1B849E" w14:textId="6D72A1B0" w:rsidR="007D7702" w:rsidRDefault="007D7702" w:rsidP="007D7702">
      <w:pPr>
        <w:pStyle w:val="FootnoteText"/>
        <w:ind w:left="567" w:hanging="567"/>
      </w:pPr>
      <w:r>
        <w:rPr>
          <w:rStyle w:val="FootnoteReference"/>
        </w:rPr>
        <w:footnoteRef/>
      </w:r>
      <w:r>
        <w:t xml:space="preserve"> </w:t>
      </w:r>
      <w:r>
        <w:tab/>
        <w:t>To apliecin</w:t>
      </w:r>
      <w:r w:rsidR="00252811">
        <w:t>a p</w:t>
      </w:r>
      <w:r>
        <w:t>iemēram, kopsavilkums par pārstrādes jaudām, pieņemšanas nodošanas akti vai citi dokumenti.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0B18"/>
    <w:multiLevelType w:val="hybridMultilevel"/>
    <w:tmpl w:val="97562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B76E92"/>
    <w:multiLevelType w:val="hybridMultilevel"/>
    <w:tmpl w:val="6A0E1D40"/>
    <w:lvl w:ilvl="0" w:tplc="0426000F">
      <w:start w:val="1"/>
      <w:numFmt w:val="decimal"/>
      <w:lvlText w:val="%1."/>
      <w:lvlJc w:val="left"/>
      <w:pPr>
        <w:tabs>
          <w:tab w:val="num" w:pos="720"/>
        </w:tabs>
        <w:ind w:left="720" w:hanging="360"/>
      </w:pPr>
      <w:rPr>
        <w:rFonts w:hint="default"/>
      </w:rPr>
    </w:lvl>
    <w:lvl w:ilvl="1" w:tplc="04260017">
      <w:start w:val="1"/>
      <w:numFmt w:val="lowerLetter"/>
      <w:lvlText w:val="%2)"/>
      <w:lvlJc w:val="left"/>
      <w:pPr>
        <w:tabs>
          <w:tab w:val="num" w:pos="1440"/>
        </w:tabs>
        <w:ind w:left="1440" w:hanging="360"/>
      </w:pPr>
      <w:rPr>
        <w:rFonts w:hint="default"/>
      </w:r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2" w15:restartNumberingAfterBreak="0">
    <w:nsid w:val="455A4149"/>
    <w:multiLevelType w:val="multilevel"/>
    <w:tmpl w:val="3760CD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9F15BA6"/>
    <w:multiLevelType w:val="hybridMultilevel"/>
    <w:tmpl w:val="970AD99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BA9759D"/>
    <w:multiLevelType w:val="hybridMultilevel"/>
    <w:tmpl w:val="A170B74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742F0F7D"/>
    <w:multiLevelType w:val="multilevel"/>
    <w:tmpl w:val="84760F00"/>
    <w:lvl w:ilvl="0">
      <w:start w:val="1"/>
      <w:numFmt w:val="decimal"/>
      <w:pStyle w:val="RixL1"/>
      <w:lvlText w:val="%1."/>
      <w:lvlJc w:val="left"/>
      <w:pPr>
        <w:ind w:left="644" w:hanging="360"/>
      </w:pPr>
      <w:rPr>
        <w:rFonts w:ascii="Times New Roman" w:eastAsia="Times New Roman" w:hAnsi="Times New Roman" w:cs="Times New Roman"/>
        <w:sz w:val="22"/>
        <w:szCs w:val="22"/>
      </w:rPr>
    </w:lvl>
    <w:lvl w:ilvl="1">
      <w:start w:val="1"/>
      <w:numFmt w:val="decimal"/>
      <w:pStyle w:val="RixNum1"/>
      <w:isLgl/>
      <w:lvlText w:val="%1.%2."/>
      <w:lvlJc w:val="left"/>
      <w:pPr>
        <w:ind w:left="1919" w:hanging="360"/>
      </w:pPr>
      <w:rPr>
        <w:b w:val="0"/>
        <w:i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58775696">
    <w:abstractNumId w:val="0"/>
  </w:num>
  <w:num w:numId="2" w16cid:durableId="126550723">
    <w:abstractNumId w:val="3"/>
  </w:num>
  <w:num w:numId="3" w16cid:durableId="174002633">
    <w:abstractNumId w:val="1"/>
  </w:num>
  <w:num w:numId="4" w16cid:durableId="1182284860">
    <w:abstractNumId w:val="2"/>
  </w:num>
  <w:num w:numId="5" w16cid:durableId="449202593">
    <w:abstractNumId w:val="4"/>
  </w:num>
  <w:num w:numId="6" w16cid:durableId="1682973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02"/>
    <w:rsid w:val="00000A9F"/>
    <w:rsid w:val="000021FD"/>
    <w:rsid w:val="000550A3"/>
    <w:rsid w:val="0009158D"/>
    <w:rsid w:val="000D3D47"/>
    <w:rsid w:val="000E594A"/>
    <w:rsid w:val="000F683A"/>
    <w:rsid w:val="00144A33"/>
    <w:rsid w:val="00193B98"/>
    <w:rsid w:val="00201F4D"/>
    <w:rsid w:val="00252811"/>
    <w:rsid w:val="00374E1A"/>
    <w:rsid w:val="00381781"/>
    <w:rsid w:val="003A04A6"/>
    <w:rsid w:val="004038B3"/>
    <w:rsid w:val="00421DEF"/>
    <w:rsid w:val="0042503D"/>
    <w:rsid w:val="00452F8B"/>
    <w:rsid w:val="00480736"/>
    <w:rsid w:val="004E1587"/>
    <w:rsid w:val="004E3A52"/>
    <w:rsid w:val="00513E96"/>
    <w:rsid w:val="00560D49"/>
    <w:rsid w:val="005E2189"/>
    <w:rsid w:val="0063705C"/>
    <w:rsid w:val="00637238"/>
    <w:rsid w:val="006D2328"/>
    <w:rsid w:val="006F4537"/>
    <w:rsid w:val="0071616D"/>
    <w:rsid w:val="007337DE"/>
    <w:rsid w:val="00740565"/>
    <w:rsid w:val="00773018"/>
    <w:rsid w:val="007856DB"/>
    <w:rsid w:val="00792B6C"/>
    <w:rsid w:val="007D7702"/>
    <w:rsid w:val="007E2C45"/>
    <w:rsid w:val="007E53D8"/>
    <w:rsid w:val="008E345E"/>
    <w:rsid w:val="00911182"/>
    <w:rsid w:val="00931B96"/>
    <w:rsid w:val="009A0B73"/>
    <w:rsid w:val="009A0E4D"/>
    <w:rsid w:val="009B51E5"/>
    <w:rsid w:val="009E5B24"/>
    <w:rsid w:val="009E78A4"/>
    <w:rsid w:val="00A26414"/>
    <w:rsid w:val="00A455B1"/>
    <w:rsid w:val="00AA4758"/>
    <w:rsid w:val="00AC21E2"/>
    <w:rsid w:val="00AF2E87"/>
    <w:rsid w:val="00B11A5E"/>
    <w:rsid w:val="00B605CA"/>
    <w:rsid w:val="00B60848"/>
    <w:rsid w:val="00B62B7E"/>
    <w:rsid w:val="00B64DD3"/>
    <w:rsid w:val="00B90B29"/>
    <w:rsid w:val="00BA7BCC"/>
    <w:rsid w:val="00BD25BB"/>
    <w:rsid w:val="00C24BEC"/>
    <w:rsid w:val="00C565D7"/>
    <w:rsid w:val="00C85D0D"/>
    <w:rsid w:val="00CC4404"/>
    <w:rsid w:val="00CE60D3"/>
    <w:rsid w:val="00DA3C8D"/>
    <w:rsid w:val="00DD26DD"/>
    <w:rsid w:val="00E22533"/>
    <w:rsid w:val="00E23025"/>
    <w:rsid w:val="00E31E88"/>
    <w:rsid w:val="00E46F4D"/>
    <w:rsid w:val="00E47930"/>
    <w:rsid w:val="00EB6F9F"/>
    <w:rsid w:val="00F046CE"/>
    <w:rsid w:val="00F26417"/>
    <w:rsid w:val="00F3207B"/>
    <w:rsid w:val="00F82480"/>
    <w:rsid w:val="00FB39A1"/>
    <w:rsid w:val="00FE4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EF27"/>
  <w15:chartTrackingRefBased/>
  <w15:docId w15:val="{20285193-855D-4BD8-B2DF-BAF7D775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7702"/>
    <w:rPr>
      <w:color w:val="0000FF"/>
      <w:u w:val="single"/>
    </w:rPr>
  </w:style>
  <w:style w:type="paragraph" w:styleId="FootnoteText">
    <w:name w:val="footnote text"/>
    <w:aliases w:val="Footnote,Fußnote, Rakstz., Rakstz. Rakstz.,Footnote Text Char2 Char,Footnote Text Char1 Char2 Char,Footnote Text Char Char Char Char,Footnote Text Char1 Char Char Char Char,Footnote Text Char Char Char Char Char Char"/>
    <w:basedOn w:val="Normal"/>
    <w:link w:val="FootnoteTextChar"/>
    <w:rsid w:val="007D77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ußnote Char, Rakstz. Char, Rakstz. Rakstz. Char,Footnote Text Char2 Char Char,Footnote Text Char1 Char2 Char Char,Footnote Text Char Char Char Char Char,Footnote Text Char1 Char Char Char Char Char"/>
    <w:basedOn w:val="DefaultParagraphFont"/>
    <w:link w:val="FootnoteText"/>
    <w:rsid w:val="007D7702"/>
    <w:rPr>
      <w:rFonts w:ascii="Times New Roman" w:eastAsia="Times New Roman" w:hAnsi="Times New Roman" w:cs="Times New Roman"/>
      <w:sz w:val="20"/>
      <w:szCs w:val="20"/>
    </w:rPr>
  </w:style>
  <w:style w:type="character" w:styleId="FootnoteReference">
    <w:name w:val="footnote reference"/>
    <w:aliases w:val="Footnote symbol"/>
    <w:uiPriority w:val="99"/>
    <w:rsid w:val="007D7702"/>
    <w:rPr>
      <w:vertAlign w:val="superscript"/>
    </w:rPr>
  </w:style>
  <w:style w:type="paragraph" w:styleId="Title">
    <w:name w:val="Title"/>
    <w:basedOn w:val="Normal"/>
    <w:link w:val="TitleChar"/>
    <w:qFormat/>
    <w:rsid w:val="007D7702"/>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7D7702"/>
    <w:rPr>
      <w:rFonts w:ascii="Times New Roman" w:eastAsia="Times New Roman" w:hAnsi="Times New Roman" w:cs="Times New Roman"/>
      <w:b/>
      <w:bCs/>
      <w:sz w:val="24"/>
      <w:szCs w:val="20"/>
      <w:lang w:val="en-US"/>
    </w:rPr>
  </w:style>
  <w:style w:type="table" w:styleId="TableGrid">
    <w:name w:val="Table Grid"/>
    <w:basedOn w:val="TableNormal"/>
    <w:rsid w:val="007D770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Normal bullet 2,Bullet list,Strip,H&amp;P List Paragraph,2,Virsraksts"/>
    <w:basedOn w:val="Normal"/>
    <w:link w:val="ListParagraphChar"/>
    <w:uiPriority w:val="34"/>
    <w:qFormat/>
    <w:rsid w:val="007D7702"/>
    <w:pPr>
      <w:spacing w:after="200" w:line="276" w:lineRule="auto"/>
      <w:ind w:left="720"/>
    </w:pPr>
    <w:rPr>
      <w:rFonts w:ascii="Calibri" w:eastAsia="Times New Roman" w:hAnsi="Calibri" w:cs="Times New Roman"/>
    </w:rPr>
  </w:style>
  <w:style w:type="character" w:customStyle="1" w:styleId="ListParagraphChar">
    <w:name w:val="List Paragraph Char"/>
    <w:aliases w:val="Syle 1 Char,Normal bullet 2 Char,Bullet list Char,Strip Char,H&amp;P List Paragraph Char,2 Char,Virsraksts Char"/>
    <w:link w:val="ListParagraph"/>
    <w:uiPriority w:val="34"/>
    <w:rsid w:val="007D7702"/>
    <w:rPr>
      <w:rFonts w:ascii="Calibri" w:eastAsia="Times New Roman" w:hAnsi="Calibri" w:cs="Times New Roman"/>
    </w:rPr>
  </w:style>
  <w:style w:type="character" w:customStyle="1" w:styleId="RixL1Char">
    <w:name w:val="Rix_L1 Char"/>
    <w:basedOn w:val="DefaultParagraphFont"/>
    <w:link w:val="RixL1"/>
    <w:locked/>
    <w:rsid w:val="007D7702"/>
    <w:rPr>
      <w:rFonts w:ascii="Times New Roman" w:eastAsia="Times New Roman" w:hAnsi="Times New Roman" w:cs="Times New Roman"/>
      <w:b/>
      <w:sz w:val="24"/>
      <w:szCs w:val="24"/>
      <w:lang w:val="en-GB" w:eastAsia="lv-LV"/>
    </w:rPr>
  </w:style>
  <w:style w:type="paragraph" w:customStyle="1" w:styleId="RixL1">
    <w:name w:val="Rix_L1"/>
    <w:basedOn w:val="ListParagraph"/>
    <w:link w:val="RixL1Char"/>
    <w:qFormat/>
    <w:rsid w:val="007D7702"/>
    <w:pPr>
      <w:numPr>
        <w:numId w:val="6"/>
      </w:numPr>
      <w:spacing w:before="240" w:after="0" w:line="240" w:lineRule="auto"/>
      <w:contextualSpacing/>
    </w:pPr>
    <w:rPr>
      <w:rFonts w:ascii="Times New Roman" w:hAnsi="Times New Roman"/>
      <w:b/>
      <w:sz w:val="24"/>
      <w:szCs w:val="24"/>
      <w:lang w:val="en-GB" w:eastAsia="lv-LV"/>
    </w:rPr>
  </w:style>
  <w:style w:type="paragraph" w:customStyle="1" w:styleId="RixNum1">
    <w:name w:val="Rix_Num_1"/>
    <w:basedOn w:val="ListParagraph"/>
    <w:rsid w:val="007D7702"/>
    <w:pPr>
      <w:numPr>
        <w:ilvl w:val="1"/>
        <w:numId w:val="6"/>
      </w:numPr>
      <w:spacing w:after="0" w:line="240" w:lineRule="auto"/>
      <w:contextualSpacing/>
    </w:pPr>
    <w:rPr>
      <w:rFonts w:ascii="Times New Roman" w:hAnsi="Times New Roman"/>
      <w:sz w:val="24"/>
      <w:szCs w:val="24"/>
      <w:lang w:val="en-GB" w:eastAsia="lv-LV"/>
    </w:rPr>
  </w:style>
  <w:style w:type="character" w:customStyle="1" w:styleId="RixL2Char">
    <w:name w:val="Rix_L2 Char"/>
    <w:basedOn w:val="DefaultParagraphFont"/>
    <w:link w:val="RixL2"/>
    <w:locked/>
    <w:rsid w:val="007D7702"/>
    <w:rPr>
      <w:rFonts w:ascii="Times New Roman" w:hAnsi="Times New Roman" w:cs="Times New Roman"/>
      <w:b/>
      <w:color w:val="000000" w:themeColor="text1"/>
    </w:rPr>
  </w:style>
  <w:style w:type="paragraph" w:customStyle="1" w:styleId="RixL2">
    <w:name w:val="Rix_L2"/>
    <w:basedOn w:val="RixNum1"/>
    <w:link w:val="RixL2Char"/>
    <w:autoRedefine/>
    <w:qFormat/>
    <w:rsid w:val="007D7702"/>
    <w:pPr>
      <w:numPr>
        <w:ilvl w:val="0"/>
        <w:numId w:val="0"/>
      </w:numPr>
      <w:spacing w:before="120" w:after="120"/>
      <w:contextualSpacing w:val="0"/>
    </w:pPr>
    <w:rPr>
      <w:rFonts w:eastAsiaTheme="minorHAnsi"/>
      <w:b/>
      <w:color w:val="000000" w:themeColor="text1"/>
      <w:sz w:val="22"/>
      <w:szCs w:val="22"/>
      <w:lang w:val="lv-LV" w:eastAsia="en-US"/>
    </w:rPr>
  </w:style>
  <w:style w:type="character" w:customStyle="1" w:styleId="Noklusjumarindkopasfonts1">
    <w:name w:val="Noklusējuma rindkopas fonts1"/>
    <w:uiPriority w:val="99"/>
    <w:rsid w:val="007D7702"/>
  </w:style>
  <w:style w:type="character" w:styleId="CommentReference">
    <w:name w:val="annotation reference"/>
    <w:basedOn w:val="DefaultParagraphFont"/>
    <w:uiPriority w:val="99"/>
    <w:semiHidden/>
    <w:unhideWhenUsed/>
    <w:rsid w:val="00C565D7"/>
    <w:rPr>
      <w:sz w:val="16"/>
      <w:szCs w:val="16"/>
    </w:rPr>
  </w:style>
  <w:style w:type="paragraph" w:styleId="CommentText">
    <w:name w:val="annotation text"/>
    <w:basedOn w:val="Normal"/>
    <w:link w:val="CommentTextChar"/>
    <w:uiPriority w:val="99"/>
    <w:semiHidden/>
    <w:unhideWhenUsed/>
    <w:rsid w:val="00C565D7"/>
    <w:pPr>
      <w:spacing w:line="240" w:lineRule="auto"/>
    </w:pPr>
    <w:rPr>
      <w:sz w:val="20"/>
      <w:szCs w:val="20"/>
    </w:rPr>
  </w:style>
  <w:style w:type="character" w:customStyle="1" w:styleId="CommentTextChar">
    <w:name w:val="Comment Text Char"/>
    <w:basedOn w:val="DefaultParagraphFont"/>
    <w:link w:val="CommentText"/>
    <w:uiPriority w:val="99"/>
    <w:semiHidden/>
    <w:rsid w:val="00C565D7"/>
    <w:rPr>
      <w:sz w:val="20"/>
      <w:szCs w:val="20"/>
    </w:rPr>
  </w:style>
  <w:style w:type="paragraph" w:styleId="CommentSubject">
    <w:name w:val="annotation subject"/>
    <w:basedOn w:val="CommentText"/>
    <w:next w:val="CommentText"/>
    <w:link w:val="CommentSubjectChar"/>
    <w:uiPriority w:val="99"/>
    <w:semiHidden/>
    <w:unhideWhenUsed/>
    <w:rsid w:val="00C565D7"/>
    <w:rPr>
      <w:b/>
      <w:bCs/>
    </w:rPr>
  </w:style>
  <w:style w:type="character" w:customStyle="1" w:styleId="CommentSubjectChar">
    <w:name w:val="Comment Subject Char"/>
    <w:basedOn w:val="CommentTextChar"/>
    <w:link w:val="CommentSubject"/>
    <w:uiPriority w:val="99"/>
    <w:semiHidden/>
    <w:rsid w:val="00C565D7"/>
    <w:rPr>
      <w:b/>
      <w:bCs/>
      <w:sz w:val="20"/>
      <w:szCs w:val="20"/>
    </w:rPr>
  </w:style>
  <w:style w:type="paragraph" w:styleId="Header">
    <w:name w:val="header"/>
    <w:basedOn w:val="Normal"/>
    <w:link w:val="HeaderChar"/>
    <w:uiPriority w:val="99"/>
    <w:unhideWhenUsed/>
    <w:rsid w:val="00B62B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2B7E"/>
  </w:style>
  <w:style w:type="paragraph" w:styleId="Footer">
    <w:name w:val="footer"/>
    <w:basedOn w:val="Normal"/>
    <w:link w:val="FooterChar"/>
    <w:uiPriority w:val="99"/>
    <w:unhideWhenUsed/>
    <w:rsid w:val="00B62B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2B7E"/>
  </w:style>
  <w:style w:type="character" w:styleId="UnresolvedMention">
    <w:name w:val="Unresolved Mention"/>
    <w:basedOn w:val="DefaultParagraphFont"/>
    <w:uiPriority w:val="99"/>
    <w:semiHidden/>
    <w:unhideWhenUsed/>
    <w:rsid w:val="00CE60D3"/>
    <w:rPr>
      <w:color w:val="605E5C"/>
      <w:shd w:val="clear" w:color="auto" w:fill="E1DFDD"/>
    </w:rPr>
  </w:style>
  <w:style w:type="paragraph" w:styleId="BalloonText">
    <w:name w:val="Balloon Text"/>
    <w:basedOn w:val="Normal"/>
    <w:link w:val="BalloonTextChar"/>
    <w:uiPriority w:val="99"/>
    <w:semiHidden/>
    <w:unhideWhenUsed/>
    <w:rsid w:val="00452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8B"/>
    <w:rPr>
      <w:rFonts w:ascii="Segoe UI" w:hAnsi="Segoe UI" w:cs="Segoe UI"/>
      <w:sz w:val="18"/>
      <w:szCs w:val="18"/>
    </w:rPr>
  </w:style>
  <w:style w:type="paragraph" w:styleId="Revision">
    <w:name w:val="Revision"/>
    <w:hidden/>
    <w:uiPriority w:val="99"/>
    <w:semiHidden/>
    <w:rsid w:val="00AF2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pvb.gov.lv/lv/vadlinijas?utm_source=https%3A%2F%2Fwww.google.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674C-8E8F-463E-B37A-26DD456F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6138</Words>
  <Characters>3499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Zingere</dc:creator>
  <cp:keywords/>
  <dc:description/>
  <cp:lastModifiedBy>Anete  Buka-Petroviča</cp:lastModifiedBy>
  <cp:revision>15</cp:revision>
  <dcterms:created xsi:type="dcterms:W3CDTF">2022-03-26T11:36:00Z</dcterms:created>
  <dcterms:modified xsi:type="dcterms:W3CDTF">2022-05-18T11:33:00Z</dcterms:modified>
</cp:coreProperties>
</file>