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39FA749A"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E3600">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 xml:space="preserve">.gada </w:t>
      </w:r>
      <w:r w:rsidR="00432D16">
        <w:rPr>
          <w:rFonts w:ascii="Times New Roman" w:eastAsia="Times New Roman" w:hAnsi="Times New Roman" w:cs="Times New Roman"/>
          <w:color w:val="000000"/>
          <w:sz w:val="24"/>
          <w:szCs w:val="24"/>
        </w:rPr>
        <w:t>2</w:t>
      </w:r>
      <w:r w:rsidR="00B42F46">
        <w:rPr>
          <w:rFonts w:ascii="Times New Roman" w:eastAsia="Times New Roman" w:hAnsi="Times New Roman" w:cs="Times New Roman"/>
          <w:color w:val="000000"/>
          <w:sz w:val="24"/>
          <w:szCs w:val="24"/>
        </w:rPr>
        <w:t>7</w:t>
      </w:r>
      <w:r w:rsidR="00432D16">
        <w:rPr>
          <w:rFonts w:ascii="Times New Roman" w:eastAsia="Times New Roman" w:hAnsi="Times New Roman" w:cs="Times New Roman"/>
          <w:color w:val="000000"/>
          <w:sz w:val="24"/>
          <w:szCs w:val="24"/>
        </w:rPr>
        <w:t>.septembra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421E75DF" w:rsidR="00C23E9E" w:rsidRPr="00FD70BA" w:rsidRDefault="0082300F" w:rsidP="00BF00FA">
      <w:pPr>
        <w:pStyle w:val="BlockText"/>
        <w:ind w:left="142"/>
        <w:jc w:val="center"/>
        <w:rPr>
          <w:b/>
          <w:bCs/>
          <w:sz w:val="48"/>
          <w:szCs w:val="48"/>
        </w:rPr>
      </w:pPr>
      <w:r w:rsidRPr="00FD70BA">
        <w:rPr>
          <w:b/>
          <w:sz w:val="48"/>
          <w:szCs w:val="48"/>
        </w:rPr>
        <w:t>“</w:t>
      </w:r>
      <w:r w:rsidR="00EB210D" w:rsidRPr="00FD70BA">
        <w:rPr>
          <w:b/>
          <w:sz w:val="48"/>
          <w:szCs w:val="48"/>
        </w:rPr>
        <w:t>Naftas atkritumu savācējkuģa "</w:t>
      </w:r>
      <w:r w:rsidR="005E3600">
        <w:rPr>
          <w:b/>
          <w:sz w:val="48"/>
          <w:szCs w:val="48"/>
        </w:rPr>
        <w:t>RINDA</w:t>
      </w:r>
      <w:r w:rsidR="00EB210D" w:rsidRPr="00FD70BA">
        <w:rPr>
          <w:b/>
          <w:sz w:val="48"/>
          <w:szCs w:val="48"/>
        </w:rPr>
        <w:t>" remonts ar dokošanu</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2FB6B1F0"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E3600">
        <w:rPr>
          <w:rFonts w:ascii="Times New Roman" w:hAnsi="Times New Roman" w:cs="Times New Roman"/>
          <w:b/>
          <w:sz w:val="36"/>
          <w:szCs w:val="48"/>
        </w:rPr>
        <w:t>2</w:t>
      </w:r>
      <w:r w:rsidRPr="00FD70BA">
        <w:rPr>
          <w:rFonts w:ascii="Times New Roman" w:hAnsi="Times New Roman" w:cs="Times New Roman"/>
          <w:b/>
          <w:sz w:val="36"/>
          <w:szCs w:val="48"/>
        </w:rPr>
        <w:t>/</w:t>
      </w:r>
      <w:r w:rsidR="00E04C63">
        <w:rPr>
          <w:rFonts w:ascii="Times New Roman" w:hAnsi="Times New Roman" w:cs="Times New Roman"/>
          <w:b/>
          <w:sz w:val="36"/>
          <w:szCs w:val="48"/>
        </w:rPr>
        <w:t>98</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6AB5B2B6"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E3600">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284731D0" w14:textId="384670F5" w:rsidR="00432D16" w:rsidRDefault="00C23E9E">
      <w:pPr>
        <w:pStyle w:val="TOC1"/>
        <w:rPr>
          <w:rFonts w:asciiTheme="minorHAnsi" w:eastAsiaTheme="minorEastAsia" w:hAnsiTheme="minorHAnsi" w:cstheme="minorBidi"/>
          <w:noProof/>
          <w:sz w:val="22"/>
          <w:szCs w:val="22"/>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115249303" w:history="1">
        <w:r w:rsidR="00432D16" w:rsidRPr="000D471F">
          <w:rPr>
            <w:rStyle w:val="Hyperlink"/>
            <w:noProof/>
          </w:rPr>
          <w:t>1.</w:t>
        </w:r>
        <w:r w:rsidR="00432D16">
          <w:rPr>
            <w:rFonts w:asciiTheme="minorHAnsi" w:eastAsiaTheme="minorEastAsia" w:hAnsiTheme="minorHAnsi" w:cstheme="minorBidi"/>
            <w:noProof/>
            <w:sz w:val="22"/>
            <w:szCs w:val="22"/>
          </w:rPr>
          <w:tab/>
        </w:r>
        <w:r w:rsidR="00432D16" w:rsidRPr="000D471F">
          <w:rPr>
            <w:rStyle w:val="Hyperlink"/>
            <w:noProof/>
          </w:rPr>
          <w:t>VISPĀRĪGA INFORMĀCIJA</w:t>
        </w:r>
        <w:r w:rsidR="00432D16">
          <w:rPr>
            <w:noProof/>
            <w:webHidden/>
          </w:rPr>
          <w:tab/>
        </w:r>
        <w:r w:rsidR="00432D16">
          <w:rPr>
            <w:noProof/>
            <w:webHidden/>
          </w:rPr>
          <w:fldChar w:fldCharType="begin"/>
        </w:r>
        <w:r w:rsidR="00432D16">
          <w:rPr>
            <w:noProof/>
            <w:webHidden/>
          </w:rPr>
          <w:instrText xml:space="preserve"> PAGEREF _Toc115249303 \h </w:instrText>
        </w:r>
        <w:r w:rsidR="00432D16">
          <w:rPr>
            <w:noProof/>
            <w:webHidden/>
          </w:rPr>
        </w:r>
        <w:r w:rsidR="00432D16">
          <w:rPr>
            <w:noProof/>
            <w:webHidden/>
          </w:rPr>
          <w:fldChar w:fldCharType="separate"/>
        </w:r>
        <w:r w:rsidR="004D4F88">
          <w:rPr>
            <w:noProof/>
            <w:webHidden/>
          </w:rPr>
          <w:t>3</w:t>
        </w:r>
        <w:r w:rsidR="00432D16">
          <w:rPr>
            <w:noProof/>
            <w:webHidden/>
          </w:rPr>
          <w:fldChar w:fldCharType="end"/>
        </w:r>
      </w:hyperlink>
    </w:p>
    <w:p w14:paraId="4E4ED3D3" w14:textId="1D648733" w:rsidR="00432D16" w:rsidRDefault="00432D16">
      <w:pPr>
        <w:pStyle w:val="TOC1"/>
        <w:rPr>
          <w:rFonts w:asciiTheme="minorHAnsi" w:eastAsiaTheme="minorEastAsia" w:hAnsiTheme="minorHAnsi" w:cstheme="minorBidi"/>
          <w:noProof/>
          <w:sz w:val="22"/>
          <w:szCs w:val="22"/>
        </w:rPr>
      </w:pPr>
      <w:hyperlink w:anchor="_Toc115249304" w:history="1">
        <w:r w:rsidRPr="000D471F">
          <w:rPr>
            <w:rStyle w:val="Hyperlink"/>
            <w:bCs/>
            <w:noProof/>
          </w:rPr>
          <w:t>2.</w:t>
        </w:r>
        <w:r>
          <w:rPr>
            <w:rFonts w:asciiTheme="minorHAnsi" w:eastAsiaTheme="minorEastAsia" w:hAnsiTheme="minorHAnsi" w:cstheme="minorBidi"/>
            <w:noProof/>
            <w:sz w:val="22"/>
            <w:szCs w:val="22"/>
          </w:rPr>
          <w:tab/>
        </w:r>
        <w:r w:rsidRPr="000D471F">
          <w:rPr>
            <w:rStyle w:val="Hyperlink"/>
            <w:noProof/>
          </w:rPr>
          <w:t>INFORMĀCIJA PAR IEPIRKUMA PRIEKŠMETU</w:t>
        </w:r>
        <w:r>
          <w:rPr>
            <w:noProof/>
            <w:webHidden/>
          </w:rPr>
          <w:tab/>
        </w:r>
        <w:r>
          <w:rPr>
            <w:noProof/>
            <w:webHidden/>
          </w:rPr>
          <w:fldChar w:fldCharType="begin"/>
        </w:r>
        <w:r>
          <w:rPr>
            <w:noProof/>
            <w:webHidden/>
          </w:rPr>
          <w:instrText xml:space="preserve"> PAGEREF _Toc115249304 \h </w:instrText>
        </w:r>
        <w:r>
          <w:rPr>
            <w:noProof/>
            <w:webHidden/>
          </w:rPr>
        </w:r>
        <w:r>
          <w:rPr>
            <w:noProof/>
            <w:webHidden/>
          </w:rPr>
          <w:fldChar w:fldCharType="separate"/>
        </w:r>
        <w:r w:rsidR="004D4F88">
          <w:rPr>
            <w:noProof/>
            <w:webHidden/>
          </w:rPr>
          <w:t>3</w:t>
        </w:r>
        <w:r>
          <w:rPr>
            <w:noProof/>
            <w:webHidden/>
          </w:rPr>
          <w:fldChar w:fldCharType="end"/>
        </w:r>
      </w:hyperlink>
    </w:p>
    <w:p w14:paraId="412128A2" w14:textId="7DF6EE0E" w:rsidR="00432D16" w:rsidRDefault="00432D16">
      <w:pPr>
        <w:pStyle w:val="TOC1"/>
        <w:rPr>
          <w:rFonts w:asciiTheme="minorHAnsi" w:eastAsiaTheme="minorEastAsia" w:hAnsiTheme="minorHAnsi" w:cstheme="minorBidi"/>
          <w:noProof/>
          <w:sz w:val="22"/>
          <w:szCs w:val="22"/>
        </w:rPr>
      </w:pPr>
      <w:hyperlink w:anchor="_Toc115249305" w:history="1">
        <w:r w:rsidRPr="000D471F">
          <w:rPr>
            <w:rStyle w:val="Hyperlink"/>
            <w:noProof/>
          </w:rPr>
          <w:t>3.</w:t>
        </w:r>
        <w:r>
          <w:rPr>
            <w:rFonts w:asciiTheme="minorHAnsi" w:eastAsiaTheme="minorEastAsia" w:hAnsiTheme="minorHAnsi" w:cstheme="minorBidi"/>
            <w:noProof/>
            <w:sz w:val="22"/>
            <w:szCs w:val="22"/>
          </w:rPr>
          <w:tab/>
        </w:r>
        <w:r w:rsidRPr="000D471F">
          <w:rPr>
            <w:rStyle w:val="Hyperlink"/>
            <w:noProof/>
          </w:rPr>
          <w:t>IEPIRKUMA PROCEDŪRAS DOKUMENTI</w:t>
        </w:r>
        <w:r>
          <w:rPr>
            <w:noProof/>
            <w:webHidden/>
          </w:rPr>
          <w:tab/>
        </w:r>
        <w:r>
          <w:rPr>
            <w:noProof/>
            <w:webHidden/>
          </w:rPr>
          <w:fldChar w:fldCharType="begin"/>
        </w:r>
        <w:r>
          <w:rPr>
            <w:noProof/>
            <w:webHidden/>
          </w:rPr>
          <w:instrText xml:space="preserve"> PAGEREF _Toc115249305 \h </w:instrText>
        </w:r>
        <w:r>
          <w:rPr>
            <w:noProof/>
            <w:webHidden/>
          </w:rPr>
        </w:r>
        <w:r>
          <w:rPr>
            <w:noProof/>
            <w:webHidden/>
          </w:rPr>
          <w:fldChar w:fldCharType="separate"/>
        </w:r>
        <w:r w:rsidR="004D4F88">
          <w:rPr>
            <w:noProof/>
            <w:webHidden/>
          </w:rPr>
          <w:t>4</w:t>
        </w:r>
        <w:r>
          <w:rPr>
            <w:noProof/>
            <w:webHidden/>
          </w:rPr>
          <w:fldChar w:fldCharType="end"/>
        </w:r>
      </w:hyperlink>
    </w:p>
    <w:p w14:paraId="3020A6AB" w14:textId="718DD653" w:rsidR="00432D16" w:rsidRDefault="00432D16">
      <w:pPr>
        <w:pStyle w:val="TOC1"/>
        <w:rPr>
          <w:rFonts w:asciiTheme="minorHAnsi" w:eastAsiaTheme="minorEastAsia" w:hAnsiTheme="minorHAnsi" w:cstheme="minorBidi"/>
          <w:noProof/>
          <w:sz w:val="22"/>
          <w:szCs w:val="22"/>
        </w:rPr>
      </w:pPr>
      <w:hyperlink w:anchor="_Toc115249306" w:history="1">
        <w:r w:rsidRPr="000D471F">
          <w:rPr>
            <w:rStyle w:val="Hyperlink"/>
            <w:noProof/>
          </w:rPr>
          <w:t>4.</w:t>
        </w:r>
        <w:r>
          <w:rPr>
            <w:rFonts w:asciiTheme="minorHAnsi" w:eastAsiaTheme="minorEastAsia" w:hAnsiTheme="minorHAnsi" w:cstheme="minorBidi"/>
            <w:noProof/>
            <w:sz w:val="22"/>
            <w:szCs w:val="22"/>
          </w:rPr>
          <w:tab/>
        </w:r>
        <w:r w:rsidRPr="000D471F">
          <w:rPr>
            <w:rStyle w:val="Hyperlink"/>
            <w:noProof/>
          </w:rPr>
          <w:t>DALĪBAS NOSACĪJUMI IEPIRKUMA PROCEDŪRĀ</w:t>
        </w:r>
        <w:r>
          <w:rPr>
            <w:noProof/>
            <w:webHidden/>
          </w:rPr>
          <w:tab/>
        </w:r>
        <w:r>
          <w:rPr>
            <w:noProof/>
            <w:webHidden/>
          </w:rPr>
          <w:fldChar w:fldCharType="begin"/>
        </w:r>
        <w:r>
          <w:rPr>
            <w:noProof/>
            <w:webHidden/>
          </w:rPr>
          <w:instrText xml:space="preserve"> PAGEREF _Toc115249306 \h </w:instrText>
        </w:r>
        <w:r>
          <w:rPr>
            <w:noProof/>
            <w:webHidden/>
          </w:rPr>
        </w:r>
        <w:r>
          <w:rPr>
            <w:noProof/>
            <w:webHidden/>
          </w:rPr>
          <w:fldChar w:fldCharType="separate"/>
        </w:r>
        <w:r w:rsidR="004D4F88">
          <w:rPr>
            <w:noProof/>
            <w:webHidden/>
          </w:rPr>
          <w:t>5</w:t>
        </w:r>
        <w:r>
          <w:rPr>
            <w:noProof/>
            <w:webHidden/>
          </w:rPr>
          <w:fldChar w:fldCharType="end"/>
        </w:r>
      </w:hyperlink>
    </w:p>
    <w:p w14:paraId="6FA6C376" w14:textId="3EDDFE39" w:rsidR="00432D16" w:rsidRDefault="00432D16">
      <w:pPr>
        <w:pStyle w:val="TOC1"/>
        <w:rPr>
          <w:rFonts w:asciiTheme="minorHAnsi" w:eastAsiaTheme="minorEastAsia" w:hAnsiTheme="minorHAnsi" w:cstheme="minorBidi"/>
          <w:noProof/>
          <w:sz w:val="22"/>
          <w:szCs w:val="22"/>
        </w:rPr>
      </w:pPr>
      <w:hyperlink w:anchor="_Toc115249307" w:history="1">
        <w:r w:rsidRPr="000D471F">
          <w:rPr>
            <w:rStyle w:val="Hyperlink"/>
            <w:noProof/>
          </w:rPr>
          <w:t>5.</w:t>
        </w:r>
        <w:r>
          <w:rPr>
            <w:rFonts w:asciiTheme="minorHAnsi" w:eastAsiaTheme="minorEastAsia" w:hAnsiTheme="minorHAnsi" w:cstheme="minorBidi"/>
            <w:noProof/>
            <w:sz w:val="22"/>
            <w:szCs w:val="22"/>
          </w:rPr>
          <w:tab/>
        </w:r>
        <w:r w:rsidRPr="000D471F">
          <w:rPr>
            <w:rStyle w:val="Hyperlink"/>
            <w:noProof/>
          </w:rPr>
          <w:t>IESNIEDZAMIE DOKUMENTI:</w:t>
        </w:r>
        <w:r>
          <w:rPr>
            <w:noProof/>
            <w:webHidden/>
          </w:rPr>
          <w:tab/>
        </w:r>
        <w:r>
          <w:rPr>
            <w:noProof/>
            <w:webHidden/>
          </w:rPr>
          <w:fldChar w:fldCharType="begin"/>
        </w:r>
        <w:r>
          <w:rPr>
            <w:noProof/>
            <w:webHidden/>
          </w:rPr>
          <w:instrText xml:space="preserve"> PAGEREF _Toc115249307 \h </w:instrText>
        </w:r>
        <w:r>
          <w:rPr>
            <w:noProof/>
            <w:webHidden/>
          </w:rPr>
        </w:r>
        <w:r>
          <w:rPr>
            <w:noProof/>
            <w:webHidden/>
          </w:rPr>
          <w:fldChar w:fldCharType="separate"/>
        </w:r>
        <w:r w:rsidR="004D4F88">
          <w:rPr>
            <w:noProof/>
            <w:webHidden/>
          </w:rPr>
          <w:t>6</w:t>
        </w:r>
        <w:r>
          <w:rPr>
            <w:noProof/>
            <w:webHidden/>
          </w:rPr>
          <w:fldChar w:fldCharType="end"/>
        </w:r>
      </w:hyperlink>
    </w:p>
    <w:p w14:paraId="6BA581CC" w14:textId="618EAEA9" w:rsidR="00432D16" w:rsidRDefault="00432D16">
      <w:pPr>
        <w:pStyle w:val="TOC1"/>
        <w:rPr>
          <w:rFonts w:asciiTheme="minorHAnsi" w:eastAsiaTheme="minorEastAsia" w:hAnsiTheme="minorHAnsi" w:cstheme="minorBidi"/>
          <w:noProof/>
          <w:sz w:val="22"/>
          <w:szCs w:val="22"/>
        </w:rPr>
      </w:pPr>
      <w:hyperlink w:anchor="_Toc115249308" w:history="1">
        <w:r w:rsidRPr="000D471F">
          <w:rPr>
            <w:rStyle w:val="Hyperlink"/>
            <w:noProof/>
          </w:rPr>
          <w:t>6.</w:t>
        </w:r>
        <w:r>
          <w:rPr>
            <w:rFonts w:asciiTheme="minorHAnsi" w:eastAsiaTheme="minorEastAsia" w:hAnsiTheme="minorHAnsi" w:cstheme="minorBidi"/>
            <w:noProof/>
            <w:sz w:val="22"/>
            <w:szCs w:val="22"/>
          </w:rPr>
          <w:tab/>
        </w:r>
        <w:r w:rsidRPr="000D471F">
          <w:rPr>
            <w:rStyle w:val="Hyperlink"/>
            <w:noProof/>
          </w:rPr>
          <w:t>PRETENDENTU KVALIFIKĀCIJAS PRASĪBAS/ DALĪBAS NOSACĪJUMI UN ATLASES DOKUMENTI</w:t>
        </w:r>
        <w:r>
          <w:rPr>
            <w:noProof/>
            <w:webHidden/>
          </w:rPr>
          <w:tab/>
        </w:r>
        <w:r>
          <w:rPr>
            <w:noProof/>
            <w:webHidden/>
          </w:rPr>
          <w:fldChar w:fldCharType="begin"/>
        </w:r>
        <w:r>
          <w:rPr>
            <w:noProof/>
            <w:webHidden/>
          </w:rPr>
          <w:instrText xml:space="preserve"> PAGEREF _Toc115249308 \h </w:instrText>
        </w:r>
        <w:r>
          <w:rPr>
            <w:noProof/>
            <w:webHidden/>
          </w:rPr>
        </w:r>
        <w:r>
          <w:rPr>
            <w:noProof/>
            <w:webHidden/>
          </w:rPr>
          <w:fldChar w:fldCharType="separate"/>
        </w:r>
        <w:r w:rsidR="004D4F88">
          <w:rPr>
            <w:noProof/>
            <w:webHidden/>
          </w:rPr>
          <w:t>6</w:t>
        </w:r>
        <w:r>
          <w:rPr>
            <w:noProof/>
            <w:webHidden/>
          </w:rPr>
          <w:fldChar w:fldCharType="end"/>
        </w:r>
      </w:hyperlink>
    </w:p>
    <w:p w14:paraId="477159BB" w14:textId="64ABA021" w:rsidR="00432D16" w:rsidRDefault="00432D16">
      <w:pPr>
        <w:pStyle w:val="TOC1"/>
        <w:rPr>
          <w:rFonts w:asciiTheme="minorHAnsi" w:eastAsiaTheme="minorEastAsia" w:hAnsiTheme="minorHAnsi" w:cstheme="minorBidi"/>
          <w:noProof/>
          <w:sz w:val="22"/>
          <w:szCs w:val="22"/>
        </w:rPr>
      </w:pPr>
      <w:hyperlink w:anchor="_Toc115249311" w:history="1">
        <w:r w:rsidRPr="000D471F">
          <w:rPr>
            <w:rStyle w:val="Hyperlink"/>
            <w:noProof/>
          </w:rPr>
          <w:t>7.</w:t>
        </w:r>
        <w:r>
          <w:rPr>
            <w:rFonts w:asciiTheme="minorHAnsi" w:eastAsiaTheme="minorEastAsia" w:hAnsiTheme="minorHAnsi" w:cstheme="minorBidi"/>
            <w:noProof/>
            <w:sz w:val="22"/>
            <w:szCs w:val="22"/>
          </w:rPr>
          <w:tab/>
        </w:r>
        <w:r w:rsidRPr="000D471F">
          <w:rPr>
            <w:rStyle w:val="Hyperlink"/>
            <w:noProof/>
          </w:rPr>
          <w:t>TEHNISKAIS PIEDĀVĀJUMS UN FINANŠU PIEDĀVĀJUMS</w:t>
        </w:r>
        <w:r>
          <w:rPr>
            <w:noProof/>
            <w:webHidden/>
          </w:rPr>
          <w:tab/>
        </w:r>
        <w:r>
          <w:rPr>
            <w:noProof/>
            <w:webHidden/>
          </w:rPr>
          <w:fldChar w:fldCharType="begin"/>
        </w:r>
        <w:r>
          <w:rPr>
            <w:noProof/>
            <w:webHidden/>
          </w:rPr>
          <w:instrText xml:space="preserve"> PAGEREF _Toc115249311 \h </w:instrText>
        </w:r>
        <w:r>
          <w:rPr>
            <w:noProof/>
            <w:webHidden/>
          </w:rPr>
        </w:r>
        <w:r>
          <w:rPr>
            <w:noProof/>
            <w:webHidden/>
          </w:rPr>
          <w:fldChar w:fldCharType="separate"/>
        </w:r>
        <w:r w:rsidR="004D4F88">
          <w:rPr>
            <w:noProof/>
            <w:webHidden/>
          </w:rPr>
          <w:t>9</w:t>
        </w:r>
        <w:r>
          <w:rPr>
            <w:noProof/>
            <w:webHidden/>
          </w:rPr>
          <w:fldChar w:fldCharType="end"/>
        </w:r>
      </w:hyperlink>
    </w:p>
    <w:p w14:paraId="628C470E" w14:textId="38D065B5" w:rsidR="00432D16" w:rsidRDefault="00432D16">
      <w:pPr>
        <w:pStyle w:val="TOC1"/>
        <w:rPr>
          <w:rFonts w:asciiTheme="minorHAnsi" w:eastAsiaTheme="minorEastAsia" w:hAnsiTheme="minorHAnsi" w:cstheme="minorBidi"/>
          <w:noProof/>
          <w:sz w:val="22"/>
          <w:szCs w:val="22"/>
        </w:rPr>
      </w:pPr>
      <w:hyperlink w:anchor="_Toc115249312" w:history="1">
        <w:r w:rsidRPr="000D471F">
          <w:rPr>
            <w:rStyle w:val="Hyperlink"/>
            <w:noProof/>
          </w:rPr>
          <w:t>8.</w:t>
        </w:r>
        <w:r>
          <w:rPr>
            <w:rFonts w:asciiTheme="minorHAnsi" w:eastAsiaTheme="minorEastAsia" w:hAnsiTheme="minorHAnsi" w:cstheme="minorBidi"/>
            <w:noProof/>
            <w:sz w:val="22"/>
            <w:szCs w:val="22"/>
          </w:rPr>
          <w:tab/>
        </w:r>
        <w:r w:rsidRPr="000D471F">
          <w:rPr>
            <w:rStyle w:val="Hyperlink"/>
            <w:noProof/>
          </w:rPr>
          <w:t>PIEDĀVĀJUMA SAGATAVOŠANA UN NOFORMĒŠANA</w:t>
        </w:r>
        <w:r>
          <w:rPr>
            <w:noProof/>
            <w:webHidden/>
          </w:rPr>
          <w:tab/>
        </w:r>
        <w:r>
          <w:rPr>
            <w:noProof/>
            <w:webHidden/>
          </w:rPr>
          <w:fldChar w:fldCharType="begin"/>
        </w:r>
        <w:r>
          <w:rPr>
            <w:noProof/>
            <w:webHidden/>
          </w:rPr>
          <w:instrText xml:space="preserve"> PAGEREF _Toc115249312 \h </w:instrText>
        </w:r>
        <w:r>
          <w:rPr>
            <w:noProof/>
            <w:webHidden/>
          </w:rPr>
        </w:r>
        <w:r>
          <w:rPr>
            <w:noProof/>
            <w:webHidden/>
          </w:rPr>
          <w:fldChar w:fldCharType="separate"/>
        </w:r>
        <w:r w:rsidR="004D4F88">
          <w:rPr>
            <w:noProof/>
            <w:webHidden/>
          </w:rPr>
          <w:t>9</w:t>
        </w:r>
        <w:r>
          <w:rPr>
            <w:noProof/>
            <w:webHidden/>
          </w:rPr>
          <w:fldChar w:fldCharType="end"/>
        </w:r>
      </w:hyperlink>
    </w:p>
    <w:p w14:paraId="3A8EC20C" w14:textId="3995B1F8" w:rsidR="00432D16" w:rsidRDefault="00432D16">
      <w:pPr>
        <w:pStyle w:val="TOC1"/>
        <w:rPr>
          <w:rFonts w:asciiTheme="minorHAnsi" w:eastAsiaTheme="minorEastAsia" w:hAnsiTheme="minorHAnsi" w:cstheme="minorBidi"/>
          <w:noProof/>
          <w:sz w:val="22"/>
          <w:szCs w:val="22"/>
        </w:rPr>
      </w:pPr>
      <w:hyperlink w:anchor="_Toc115249313" w:history="1">
        <w:r w:rsidRPr="000D471F">
          <w:rPr>
            <w:rStyle w:val="Hyperlink"/>
            <w:noProof/>
          </w:rPr>
          <w:t>9.</w:t>
        </w:r>
        <w:r>
          <w:rPr>
            <w:rFonts w:asciiTheme="minorHAnsi" w:eastAsiaTheme="minorEastAsia" w:hAnsiTheme="minorHAnsi" w:cstheme="minorBidi"/>
            <w:noProof/>
            <w:sz w:val="22"/>
            <w:szCs w:val="22"/>
          </w:rPr>
          <w:tab/>
        </w:r>
        <w:r w:rsidRPr="000D471F">
          <w:rPr>
            <w:rStyle w:val="Hyperlink"/>
            <w:noProof/>
          </w:rPr>
          <w:t>PIEDĀVĀJUMA IESNIEGŠANA UN ATVĒRŠANA</w:t>
        </w:r>
        <w:r>
          <w:rPr>
            <w:noProof/>
            <w:webHidden/>
          </w:rPr>
          <w:tab/>
        </w:r>
        <w:r>
          <w:rPr>
            <w:noProof/>
            <w:webHidden/>
          </w:rPr>
          <w:fldChar w:fldCharType="begin"/>
        </w:r>
        <w:r>
          <w:rPr>
            <w:noProof/>
            <w:webHidden/>
          </w:rPr>
          <w:instrText xml:space="preserve"> PAGEREF _Toc115249313 \h </w:instrText>
        </w:r>
        <w:r>
          <w:rPr>
            <w:noProof/>
            <w:webHidden/>
          </w:rPr>
        </w:r>
        <w:r>
          <w:rPr>
            <w:noProof/>
            <w:webHidden/>
          </w:rPr>
          <w:fldChar w:fldCharType="separate"/>
        </w:r>
        <w:r w:rsidR="004D4F88">
          <w:rPr>
            <w:noProof/>
            <w:webHidden/>
          </w:rPr>
          <w:t>10</w:t>
        </w:r>
        <w:r>
          <w:rPr>
            <w:noProof/>
            <w:webHidden/>
          </w:rPr>
          <w:fldChar w:fldCharType="end"/>
        </w:r>
      </w:hyperlink>
    </w:p>
    <w:p w14:paraId="11B717A9" w14:textId="2F92EE90" w:rsidR="00432D16" w:rsidRDefault="00432D16">
      <w:pPr>
        <w:pStyle w:val="TOC1"/>
        <w:rPr>
          <w:rFonts w:asciiTheme="minorHAnsi" w:eastAsiaTheme="minorEastAsia" w:hAnsiTheme="minorHAnsi" w:cstheme="minorBidi"/>
          <w:noProof/>
          <w:sz w:val="22"/>
          <w:szCs w:val="22"/>
        </w:rPr>
      </w:pPr>
      <w:hyperlink w:anchor="_Toc115249314" w:history="1">
        <w:r w:rsidRPr="000D471F">
          <w:rPr>
            <w:rStyle w:val="Hyperlink"/>
            <w:noProof/>
          </w:rPr>
          <w:t>10.</w:t>
        </w:r>
        <w:r>
          <w:rPr>
            <w:rFonts w:asciiTheme="minorHAnsi" w:eastAsiaTheme="minorEastAsia" w:hAnsiTheme="minorHAnsi" w:cstheme="minorBidi"/>
            <w:noProof/>
            <w:sz w:val="22"/>
            <w:szCs w:val="22"/>
          </w:rPr>
          <w:tab/>
        </w:r>
        <w:r w:rsidRPr="000D471F">
          <w:rPr>
            <w:rStyle w:val="Hyperlink"/>
            <w:noProof/>
          </w:rPr>
          <w:t>CITI NOTEIKUMI</w:t>
        </w:r>
        <w:r>
          <w:rPr>
            <w:noProof/>
            <w:webHidden/>
          </w:rPr>
          <w:tab/>
        </w:r>
        <w:r>
          <w:rPr>
            <w:noProof/>
            <w:webHidden/>
          </w:rPr>
          <w:fldChar w:fldCharType="begin"/>
        </w:r>
        <w:r>
          <w:rPr>
            <w:noProof/>
            <w:webHidden/>
          </w:rPr>
          <w:instrText xml:space="preserve"> PAGEREF _Toc115249314 \h </w:instrText>
        </w:r>
        <w:r>
          <w:rPr>
            <w:noProof/>
            <w:webHidden/>
          </w:rPr>
        </w:r>
        <w:r>
          <w:rPr>
            <w:noProof/>
            <w:webHidden/>
          </w:rPr>
          <w:fldChar w:fldCharType="separate"/>
        </w:r>
        <w:r w:rsidR="004D4F88">
          <w:rPr>
            <w:noProof/>
            <w:webHidden/>
          </w:rPr>
          <w:t>11</w:t>
        </w:r>
        <w:r>
          <w:rPr>
            <w:noProof/>
            <w:webHidden/>
          </w:rPr>
          <w:fldChar w:fldCharType="end"/>
        </w:r>
      </w:hyperlink>
    </w:p>
    <w:p w14:paraId="381364F1" w14:textId="74F38C44" w:rsidR="00432D16" w:rsidRDefault="00432D16">
      <w:pPr>
        <w:pStyle w:val="TOC1"/>
        <w:rPr>
          <w:rFonts w:asciiTheme="minorHAnsi" w:eastAsiaTheme="minorEastAsia" w:hAnsiTheme="minorHAnsi" w:cstheme="minorBidi"/>
          <w:noProof/>
          <w:sz w:val="22"/>
          <w:szCs w:val="22"/>
        </w:rPr>
      </w:pPr>
      <w:hyperlink w:anchor="_Toc115249315" w:history="1">
        <w:r w:rsidRPr="000D471F">
          <w:rPr>
            <w:rStyle w:val="Hyperlink"/>
            <w:noProof/>
          </w:rPr>
          <w:t>11.</w:t>
        </w:r>
        <w:r>
          <w:rPr>
            <w:rFonts w:asciiTheme="minorHAnsi" w:eastAsiaTheme="minorEastAsia" w:hAnsiTheme="minorHAnsi" w:cstheme="minorBidi"/>
            <w:noProof/>
            <w:sz w:val="22"/>
            <w:szCs w:val="22"/>
          </w:rPr>
          <w:tab/>
        </w:r>
        <w:r w:rsidRPr="000D471F">
          <w:rPr>
            <w:rStyle w:val="Hyperlink"/>
            <w:noProof/>
          </w:rPr>
          <w:t>IEPIRKUMA LĪGUMA SLĒGŠANA</w:t>
        </w:r>
        <w:r>
          <w:rPr>
            <w:noProof/>
            <w:webHidden/>
          </w:rPr>
          <w:tab/>
        </w:r>
        <w:r>
          <w:rPr>
            <w:noProof/>
            <w:webHidden/>
          </w:rPr>
          <w:fldChar w:fldCharType="begin"/>
        </w:r>
        <w:r>
          <w:rPr>
            <w:noProof/>
            <w:webHidden/>
          </w:rPr>
          <w:instrText xml:space="preserve"> PAGEREF _Toc115249315 \h </w:instrText>
        </w:r>
        <w:r>
          <w:rPr>
            <w:noProof/>
            <w:webHidden/>
          </w:rPr>
        </w:r>
        <w:r>
          <w:rPr>
            <w:noProof/>
            <w:webHidden/>
          </w:rPr>
          <w:fldChar w:fldCharType="separate"/>
        </w:r>
        <w:r w:rsidR="004D4F88">
          <w:rPr>
            <w:noProof/>
            <w:webHidden/>
          </w:rPr>
          <w:t>13</w:t>
        </w:r>
        <w:r>
          <w:rPr>
            <w:noProof/>
            <w:webHidden/>
          </w:rPr>
          <w:fldChar w:fldCharType="end"/>
        </w:r>
      </w:hyperlink>
    </w:p>
    <w:p w14:paraId="40581047" w14:textId="5B145461"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432D16">
      <w:pPr>
        <w:pStyle w:val="Heading1"/>
        <w:numPr>
          <w:ilvl w:val="0"/>
          <w:numId w:val="1"/>
        </w:numPr>
      </w:pPr>
      <w:bookmarkStart w:id="0" w:name="_Toc115249303"/>
      <w:r w:rsidRPr="00FD70BA">
        <w:t>VISPĀRĪGA INFORMĀCIJA</w:t>
      </w:r>
      <w:bookmarkEnd w:id="0"/>
    </w:p>
    <w:p w14:paraId="78576A78" w14:textId="78B47227"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5E3600">
        <w:rPr>
          <w:rFonts w:ascii="Times New Roman" w:hAnsi="Times New Roman" w:cs="Times New Roman"/>
          <w:sz w:val="24"/>
          <w:szCs w:val="24"/>
        </w:rPr>
        <w:t>2</w:t>
      </w:r>
      <w:r w:rsidR="00E030D1" w:rsidRPr="00FD70BA">
        <w:rPr>
          <w:rFonts w:ascii="Times New Roman" w:hAnsi="Times New Roman" w:cs="Times New Roman"/>
          <w:sz w:val="24"/>
          <w:szCs w:val="24"/>
        </w:rPr>
        <w:t>/</w:t>
      </w:r>
      <w:r w:rsidR="00E04C63">
        <w:rPr>
          <w:rFonts w:ascii="Times New Roman" w:hAnsi="Times New Roman" w:cs="Times New Roman"/>
          <w:sz w:val="24"/>
          <w:szCs w:val="24"/>
        </w:rPr>
        <w:t>98</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B42F46"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C5463E">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C5463E">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C5463E">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C5463E">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C5463E">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5D277199" w14:textId="77777777" w:rsidR="0049639C" w:rsidRPr="00FD70BA" w:rsidRDefault="0052208F" w:rsidP="00432D16">
      <w:pPr>
        <w:pStyle w:val="Heading1"/>
        <w:numPr>
          <w:ilvl w:val="0"/>
          <w:numId w:val="2"/>
        </w:numPr>
      </w:pPr>
      <w:bookmarkStart w:id="1" w:name="_Toc115249304"/>
      <w:r w:rsidRPr="00FD70BA">
        <w:t xml:space="preserve">INFORMĀCIJA PAR </w:t>
      </w:r>
      <w:r w:rsidR="00B32BEC" w:rsidRPr="00FD70BA">
        <w:t>IEPIRKUMA PRIEKŠMETU</w:t>
      </w:r>
      <w:bookmarkEnd w:id="1"/>
    </w:p>
    <w:p w14:paraId="4D3DD864" w14:textId="59129BA1" w:rsidR="004E406F" w:rsidRPr="00FD70BA" w:rsidRDefault="0052208F" w:rsidP="00EB210D">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EB210D" w:rsidRPr="00FD70BA">
        <w:rPr>
          <w:rFonts w:ascii="Times New Roman" w:hAnsi="Times New Roman" w:cs="Times New Roman"/>
          <w:sz w:val="24"/>
          <w:szCs w:val="24"/>
        </w:rPr>
        <w:t>Naftas atkritumu savācējkuģa "</w:t>
      </w:r>
      <w:r w:rsidR="005E3600">
        <w:rPr>
          <w:rFonts w:ascii="Times New Roman" w:hAnsi="Times New Roman" w:cs="Times New Roman"/>
          <w:sz w:val="24"/>
          <w:szCs w:val="24"/>
        </w:rPr>
        <w:t>RINDA</w:t>
      </w:r>
      <w:r w:rsidR="00EB210D" w:rsidRPr="00FD70BA">
        <w:rPr>
          <w:rFonts w:ascii="Times New Roman" w:hAnsi="Times New Roman" w:cs="Times New Roman"/>
          <w:sz w:val="24"/>
          <w:szCs w:val="24"/>
        </w:rPr>
        <w:t>" remonts ar dokošanu</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2300F" w:rsidRPr="00FD70BA">
        <w:rPr>
          <w:rFonts w:ascii="Times New Roman" w:hAnsi="Times New Roman" w:cs="Times New Roman"/>
          <w:sz w:val="24"/>
          <w:szCs w:val="24"/>
        </w:rPr>
        <w:t xml:space="preserve">apjomu tabulām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t>Remonta izpildes vieta</w:t>
      </w:r>
      <w:r w:rsidRPr="00FD70BA">
        <w:rPr>
          <w:szCs w:val="24"/>
        </w:rPr>
        <w:t>: Latvijas Republikas ostas vai cita pretendenta piedāvātā osta.</w:t>
      </w:r>
    </w:p>
    <w:p w14:paraId="0CD2C2FE" w14:textId="2E37F8D9" w:rsidR="00EB210D" w:rsidRPr="00FD70BA" w:rsidRDefault="00EB210D" w:rsidP="00EB210D">
      <w:pPr>
        <w:pStyle w:val="BlockText"/>
        <w:numPr>
          <w:ilvl w:val="1"/>
          <w:numId w:val="2"/>
        </w:numPr>
        <w:suppressAutoHyphens/>
        <w:spacing w:after="120"/>
        <w:ind w:right="-57"/>
        <w:jc w:val="both"/>
      </w:pPr>
      <w:r w:rsidRPr="00FD70BA">
        <w:rPr>
          <w:szCs w:val="24"/>
          <w:lang w:eastAsia="lv-LV"/>
        </w:rPr>
        <w:lastRenderedPageBreak/>
        <w:t xml:space="preserve">Saskaņā ar Latvijas Jūras administrācijas kuģošanas drošības inspekcijas </w:t>
      </w:r>
      <w:r w:rsidRPr="00FD70BA">
        <w:rPr>
          <w:szCs w:val="24"/>
          <w:u w:val="single"/>
          <w:lang w:eastAsia="lv-LV"/>
        </w:rPr>
        <w:t>201</w:t>
      </w:r>
      <w:r w:rsidR="0074122D">
        <w:rPr>
          <w:szCs w:val="24"/>
          <w:u w:val="single"/>
          <w:lang w:eastAsia="lv-LV"/>
        </w:rPr>
        <w:t>7</w:t>
      </w:r>
      <w:r w:rsidRPr="00FD70BA">
        <w:rPr>
          <w:szCs w:val="24"/>
          <w:u w:val="single"/>
          <w:lang w:eastAsia="lv-LV"/>
        </w:rPr>
        <w:t xml:space="preserve">.gada </w:t>
      </w:r>
      <w:r w:rsidR="0074122D">
        <w:rPr>
          <w:szCs w:val="24"/>
          <w:u w:val="single"/>
          <w:lang w:eastAsia="lv-LV"/>
        </w:rPr>
        <w:t>29</w:t>
      </w:r>
      <w:r w:rsidRPr="00FD70BA">
        <w:rPr>
          <w:szCs w:val="24"/>
          <w:u w:val="single"/>
          <w:lang w:eastAsia="lv-LV"/>
        </w:rPr>
        <w:t>.ma</w:t>
      </w:r>
      <w:r w:rsidR="0074122D">
        <w:rPr>
          <w:szCs w:val="24"/>
          <w:u w:val="single"/>
          <w:lang w:eastAsia="lv-LV"/>
        </w:rPr>
        <w:t>rtā</w:t>
      </w:r>
      <w:r w:rsidRPr="00FD70BA">
        <w:rPr>
          <w:szCs w:val="24"/>
          <w:u w:val="single"/>
          <w:lang w:eastAsia="lv-LV"/>
        </w:rPr>
        <w:t xml:space="preserve"> izsniegto Kuģošanas spējas apliecību Nr.</w:t>
      </w:r>
      <w:r w:rsidR="0084413E" w:rsidRPr="00FD70BA">
        <w:rPr>
          <w:szCs w:val="24"/>
          <w:u w:val="single"/>
          <w:lang w:eastAsia="lv-LV"/>
        </w:rPr>
        <w:t>1</w:t>
      </w:r>
      <w:r w:rsidR="0074122D">
        <w:rPr>
          <w:szCs w:val="24"/>
          <w:u w:val="single"/>
          <w:lang w:eastAsia="lv-LV"/>
        </w:rPr>
        <w:t>7</w:t>
      </w:r>
      <w:r w:rsidR="0084413E" w:rsidRPr="00FD70BA">
        <w:rPr>
          <w:szCs w:val="24"/>
          <w:u w:val="single"/>
          <w:lang w:eastAsia="lv-LV"/>
        </w:rPr>
        <w:t>.00</w:t>
      </w:r>
      <w:r w:rsidR="0074122D">
        <w:rPr>
          <w:szCs w:val="24"/>
          <w:u w:val="single"/>
          <w:lang w:eastAsia="lv-LV"/>
        </w:rPr>
        <w:t>38</w:t>
      </w:r>
      <w:r w:rsidR="0084413E" w:rsidRPr="00FD70BA">
        <w:rPr>
          <w:szCs w:val="24"/>
          <w:u w:val="single"/>
          <w:lang w:eastAsia="lv-LV"/>
        </w:rPr>
        <w:t>.06</w:t>
      </w:r>
      <w:r w:rsidRPr="00FD70BA">
        <w:rPr>
          <w:szCs w:val="24"/>
          <w:lang w:eastAsia="lv-LV"/>
        </w:rPr>
        <w:t xml:space="preserve"> kuģa „</w:t>
      </w:r>
      <w:r w:rsidR="0074122D">
        <w:rPr>
          <w:szCs w:val="24"/>
          <w:lang w:eastAsia="lv-LV"/>
        </w:rPr>
        <w:t>RINDA</w:t>
      </w:r>
      <w:r w:rsidRPr="00FD70BA">
        <w:rPr>
          <w:szCs w:val="24"/>
          <w:lang w:eastAsia="lv-LV"/>
        </w:rPr>
        <w:t xml:space="preserve">” kuģošana atļauta </w:t>
      </w:r>
      <w:r w:rsidR="0084413E" w:rsidRPr="00FD70BA">
        <w:rPr>
          <w:szCs w:val="24"/>
          <w:lang w:eastAsia="lv-LV"/>
        </w:rPr>
        <w:t>Ventspils ostas akvatorijā</w:t>
      </w:r>
      <w:r w:rsidRPr="00FD70BA">
        <w:rPr>
          <w:szCs w:val="24"/>
          <w:lang w:eastAsia="lv-LV"/>
        </w:rPr>
        <w:t>.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w:t>
      </w:r>
      <w:r w:rsidR="0084413E" w:rsidRPr="00FD70BA">
        <w:rPr>
          <w:szCs w:val="24"/>
          <w:lang w:eastAsia="lv-LV"/>
        </w:rPr>
        <w:t>ot</w:t>
      </w:r>
      <w:r w:rsidRPr="00FD70BA">
        <w:rPr>
          <w:szCs w:val="24"/>
          <w:lang w:eastAsia="lv-LV"/>
        </w:rPr>
        <w:t xml:space="preserve">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479C20AA" w14:textId="168D451F"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D04FD7">
        <w:rPr>
          <w:rFonts w:ascii="Times New Roman" w:eastAsia="Times New Roman" w:hAnsi="Times New Roman" w:cs="Times New Roman"/>
          <w:sz w:val="24"/>
          <w:szCs w:val="24"/>
          <w:lang w:eastAsia="lv-LV"/>
        </w:rPr>
        <w:t>4</w:t>
      </w:r>
      <w:r w:rsidR="00EB210D" w:rsidRPr="00FD70BA">
        <w:rPr>
          <w:rFonts w:ascii="Times New Roman" w:eastAsia="Times New Roman" w:hAnsi="Times New Roman" w:cs="Times New Roman"/>
          <w:sz w:val="24"/>
          <w:szCs w:val="24"/>
          <w:lang w:eastAsia="lv-LV"/>
        </w:rPr>
        <w:t>0</w:t>
      </w:r>
      <w:r w:rsidR="00DF3291" w:rsidRPr="00FD70BA">
        <w:rPr>
          <w:rFonts w:ascii="Times New Roman" w:eastAsia="Times New Roman" w:hAnsi="Times New Roman" w:cs="Times New Roman"/>
          <w:sz w:val="24"/>
          <w:szCs w:val="24"/>
          <w:lang w:eastAsia="lv-LV"/>
        </w:rPr>
        <w:t xml:space="preserve"> (</w:t>
      </w:r>
      <w:r w:rsidR="00EB210D" w:rsidRPr="00FD70BA">
        <w:rPr>
          <w:rFonts w:ascii="Times New Roman" w:eastAsia="Times New Roman" w:hAnsi="Times New Roman" w:cs="Times New Roman"/>
          <w:sz w:val="24"/>
          <w:szCs w:val="24"/>
          <w:lang w:eastAsia="lv-LV"/>
        </w:rPr>
        <w:t>kalendārās dienas</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no līguma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432D16">
      <w:pPr>
        <w:pStyle w:val="Heading1"/>
        <w:numPr>
          <w:ilvl w:val="0"/>
          <w:numId w:val="4"/>
        </w:numPr>
      </w:pPr>
      <w:bookmarkStart w:id="2" w:name="_Toc115249305"/>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FD70BA" w:rsidRDefault="0082300F"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apjomu tabula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25751B3A" w14:textId="692947ED" w:rsidR="00D03C9F" w:rsidRPr="00FD70BA" w:rsidRDefault="00D03C9F"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1D1B22">
        <w:rPr>
          <w:rFonts w:ascii="Times New Roman" w:eastAsia="Times New Roman" w:hAnsi="Times New Roman" w:cs="Times New Roman"/>
          <w:sz w:val="24"/>
          <w:szCs w:val="24"/>
        </w:rPr>
        <w:t>Rinda</w:t>
      </w:r>
      <w:r w:rsidR="0084413E" w:rsidRPr="00FD70BA">
        <w:rPr>
          <w:rFonts w:ascii="Times New Roman" w:eastAsia="Times New Roman" w:hAnsi="Times New Roman" w:cs="Times New Roman"/>
          <w:sz w:val="24"/>
          <w:szCs w:val="24"/>
        </w:rPr>
        <w:t>” rasējums nr.1 (</w:t>
      </w:r>
      <w:r w:rsidR="00842BF0">
        <w:rPr>
          <w:rFonts w:ascii="Times New Roman" w:eastAsia="Times New Roman" w:hAnsi="Times New Roman" w:cs="Times New Roman"/>
          <w:sz w:val="24"/>
          <w:szCs w:val="24"/>
        </w:rPr>
        <w:t>6</w:t>
      </w:r>
      <w:r w:rsidR="0084413E" w:rsidRPr="00FD70BA">
        <w:rPr>
          <w:rFonts w:ascii="Times New Roman" w:eastAsia="Times New Roman" w:hAnsi="Times New Roman" w:cs="Times New Roman"/>
          <w:sz w:val="24"/>
          <w:szCs w:val="24"/>
        </w:rPr>
        <w:t>.pielikums);</w:t>
      </w:r>
    </w:p>
    <w:p w14:paraId="61DE7B57" w14:textId="4C547059" w:rsidR="0084413E" w:rsidRPr="001D1B22" w:rsidRDefault="0084413E"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bookmarkStart w:id="3" w:name="_Hlk114731034"/>
      <w:r w:rsidRPr="00FD70BA">
        <w:rPr>
          <w:rFonts w:ascii="Times New Roman" w:eastAsia="Times New Roman" w:hAnsi="Times New Roman" w:cs="Times New Roman"/>
          <w:sz w:val="24"/>
          <w:szCs w:val="24"/>
        </w:rPr>
        <w:t>Kuģa “</w:t>
      </w:r>
      <w:r w:rsidR="001D1B22">
        <w:rPr>
          <w:rFonts w:ascii="Times New Roman" w:eastAsia="Times New Roman" w:hAnsi="Times New Roman" w:cs="Times New Roman"/>
          <w:sz w:val="24"/>
          <w:szCs w:val="24"/>
        </w:rPr>
        <w:t>Rinda</w:t>
      </w:r>
      <w:r w:rsidRPr="00FD70BA">
        <w:rPr>
          <w:rFonts w:ascii="Times New Roman" w:eastAsia="Times New Roman" w:hAnsi="Times New Roman" w:cs="Times New Roman"/>
          <w:sz w:val="24"/>
          <w:szCs w:val="24"/>
        </w:rPr>
        <w:t>” rasējums nr.2 (</w:t>
      </w:r>
      <w:r w:rsidR="00842BF0">
        <w:rPr>
          <w:rFonts w:ascii="Times New Roman" w:eastAsia="Times New Roman" w:hAnsi="Times New Roman" w:cs="Times New Roman"/>
          <w:sz w:val="24"/>
          <w:szCs w:val="24"/>
        </w:rPr>
        <w:t>7</w:t>
      </w:r>
      <w:r w:rsidRPr="00FD70BA">
        <w:rPr>
          <w:rFonts w:ascii="Times New Roman" w:eastAsia="Times New Roman" w:hAnsi="Times New Roman" w:cs="Times New Roman"/>
          <w:sz w:val="24"/>
          <w:szCs w:val="24"/>
        </w:rPr>
        <w:t>.pielikums</w:t>
      </w:r>
      <w:bookmarkEnd w:id="3"/>
      <w:r w:rsidRPr="00FD70BA">
        <w:rPr>
          <w:rFonts w:ascii="Times New Roman" w:eastAsia="Times New Roman" w:hAnsi="Times New Roman" w:cs="Times New Roman"/>
          <w:sz w:val="24"/>
          <w:szCs w:val="24"/>
        </w:rPr>
        <w:t>);</w:t>
      </w:r>
    </w:p>
    <w:p w14:paraId="5E66E5CA" w14:textId="787EE1B0" w:rsidR="001D1B22" w:rsidRPr="00FD70BA" w:rsidRDefault="001D1B22"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Pr>
          <w:rFonts w:ascii="Times New Roman" w:eastAsia="Times New Roman" w:hAnsi="Times New Roman" w:cs="Times New Roman"/>
          <w:sz w:val="24"/>
          <w:szCs w:val="24"/>
        </w:rPr>
        <w:t>Rinda</w:t>
      </w:r>
      <w:r w:rsidRPr="00FD70BA">
        <w:rPr>
          <w:rFonts w:ascii="Times New Roman" w:eastAsia="Times New Roman" w:hAnsi="Times New Roman" w:cs="Times New Roman"/>
          <w:sz w:val="24"/>
          <w:szCs w:val="24"/>
        </w:rPr>
        <w:t>” rasējums nr.</w:t>
      </w:r>
      <w:r>
        <w:rPr>
          <w:rFonts w:ascii="Times New Roman" w:eastAsia="Times New Roman" w:hAnsi="Times New Roman" w:cs="Times New Roman"/>
          <w:sz w:val="24"/>
          <w:szCs w:val="24"/>
        </w:rPr>
        <w:t>3</w:t>
      </w:r>
      <w:r w:rsidRPr="00FD70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D70BA">
        <w:rPr>
          <w:rFonts w:ascii="Times New Roman" w:eastAsia="Times New Roman" w:hAnsi="Times New Roman" w:cs="Times New Roman"/>
          <w:sz w:val="24"/>
          <w:szCs w:val="24"/>
        </w:rPr>
        <w:t>.pielikums</w:t>
      </w:r>
      <w:r w:rsidR="004D4F88">
        <w:rPr>
          <w:rFonts w:ascii="Times New Roman" w:eastAsia="Times New Roman" w:hAnsi="Times New Roman" w:cs="Times New Roman"/>
          <w:sz w:val="24"/>
          <w:szCs w:val="24"/>
        </w:rPr>
        <w:t>);</w:t>
      </w:r>
    </w:p>
    <w:p w14:paraId="6AC42DA0" w14:textId="58E5CE50" w:rsidR="0084413E" w:rsidRPr="00FD70BA" w:rsidRDefault="0084413E" w:rsidP="00CE2363">
      <w:pPr>
        <w:numPr>
          <w:ilvl w:val="2"/>
          <w:numId w:val="5"/>
        </w:numPr>
        <w:spacing w:before="120" w:after="120" w:line="240" w:lineRule="auto"/>
        <w:ind w:left="1418"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1D1B22">
        <w:rPr>
          <w:rFonts w:ascii="Times New Roman" w:eastAsia="Times New Roman" w:hAnsi="Times New Roman" w:cs="Times New Roman"/>
          <w:sz w:val="24"/>
          <w:szCs w:val="24"/>
        </w:rPr>
        <w:t>Rinda</w:t>
      </w:r>
      <w:r w:rsidRPr="00FD70BA">
        <w:rPr>
          <w:rFonts w:ascii="Times New Roman" w:eastAsia="Times New Roman" w:hAnsi="Times New Roman" w:cs="Times New Roman"/>
          <w:sz w:val="24"/>
          <w:szCs w:val="24"/>
        </w:rPr>
        <w:t xml:space="preserve">” </w:t>
      </w:r>
      <w:r w:rsidR="001D1B22">
        <w:rPr>
          <w:rFonts w:ascii="Times New Roman" w:eastAsia="Times New Roman" w:hAnsi="Times New Roman" w:cs="Times New Roman"/>
          <w:sz w:val="24"/>
          <w:szCs w:val="24"/>
        </w:rPr>
        <w:t>kuģošanas spējas apliecība ar pielikumiem</w:t>
      </w:r>
      <w:r w:rsidRPr="00FD70BA">
        <w:rPr>
          <w:rFonts w:ascii="Times New Roman" w:eastAsia="Times New Roman" w:hAnsi="Times New Roman" w:cs="Times New Roman"/>
          <w:sz w:val="24"/>
          <w:szCs w:val="24"/>
        </w:rPr>
        <w:t xml:space="preserve"> (</w:t>
      </w:r>
      <w:r w:rsidR="001D1B22">
        <w:rPr>
          <w:rFonts w:ascii="Times New Roman" w:eastAsia="Times New Roman" w:hAnsi="Times New Roman" w:cs="Times New Roman"/>
          <w:sz w:val="24"/>
          <w:szCs w:val="24"/>
        </w:rPr>
        <w:t>9</w:t>
      </w:r>
      <w:r w:rsidRPr="00FD70BA">
        <w:rPr>
          <w:rFonts w:ascii="Times New Roman" w:eastAsia="Times New Roman" w:hAnsi="Times New Roman" w:cs="Times New Roman"/>
          <w:sz w:val="24"/>
          <w:szCs w:val="24"/>
        </w:rPr>
        <w:t>.pielikums);</w:t>
      </w:r>
    </w:p>
    <w:p w14:paraId="4C299F11" w14:textId="39C04655" w:rsidR="0084413E" w:rsidRPr="00FD70BA" w:rsidRDefault="0084413E" w:rsidP="00754DC7">
      <w:pPr>
        <w:numPr>
          <w:ilvl w:val="2"/>
          <w:numId w:val="5"/>
        </w:numPr>
        <w:spacing w:before="120" w:after="120" w:line="240" w:lineRule="auto"/>
        <w:ind w:left="1560" w:hanging="709"/>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1D1B22">
        <w:rPr>
          <w:rFonts w:ascii="Times New Roman" w:eastAsia="Times New Roman" w:hAnsi="Times New Roman" w:cs="Times New Roman"/>
          <w:sz w:val="24"/>
          <w:szCs w:val="24"/>
        </w:rPr>
        <w:t>Rinda</w:t>
      </w:r>
      <w:r w:rsidRPr="00FD70BA">
        <w:rPr>
          <w:rFonts w:ascii="Times New Roman" w:eastAsia="Times New Roman" w:hAnsi="Times New Roman" w:cs="Times New Roman"/>
          <w:sz w:val="24"/>
          <w:szCs w:val="24"/>
        </w:rPr>
        <w:t xml:space="preserve">” </w:t>
      </w:r>
      <w:r w:rsidR="001D1B22">
        <w:rPr>
          <w:rFonts w:ascii="Times New Roman" w:eastAsia="Times New Roman" w:hAnsi="Times New Roman" w:cs="Times New Roman"/>
          <w:sz w:val="24"/>
          <w:szCs w:val="24"/>
        </w:rPr>
        <w:t>reģistrācijas apliecība</w:t>
      </w:r>
      <w:r w:rsidRPr="00FD70BA">
        <w:rPr>
          <w:rFonts w:ascii="Times New Roman" w:eastAsia="Times New Roman" w:hAnsi="Times New Roman" w:cs="Times New Roman"/>
          <w:sz w:val="24"/>
          <w:szCs w:val="24"/>
        </w:rPr>
        <w:t xml:space="preserve"> (</w:t>
      </w:r>
      <w:r w:rsidR="001D1B22">
        <w:rPr>
          <w:rFonts w:ascii="Times New Roman" w:eastAsia="Times New Roman" w:hAnsi="Times New Roman" w:cs="Times New Roman"/>
          <w:sz w:val="24"/>
          <w:szCs w:val="24"/>
        </w:rPr>
        <w:t>10</w:t>
      </w:r>
      <w:r w:rsidRPr="00FD70BA">
        <w:rPr>
          <w:rFonts w:ascii="Times New Roman" w:eastAsia="Times New Roman" w:hAnsi="Times New Roman" w:cs="Times New Roman"/>
          <w:sz w:val="24"/>
          <w:szCs w:val="24"/>
        </w:rPr>
        <w:t>.pielikums).</w:t>
      </w:r>
    </w:p>
    <w:p w14:paraId="39B3C433" w14:textId="18369B68"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1D2C4C" w:rsidRPr="001D2C4C">
          <w:rPr>
            <w:rStyle w:val="Hyperlink"/>
            <w:rFonts w:ascii="Times New Roman" w:eastAsia="Times New Roman" w:hAnsi="Times New Roman" w:cs="Times New Roman"/>
            <w:sz w:val="24"/>
            <w:szCs w:val="24"/>
          </w:rPr>
          <w:t>https://www.portofventspils.lv/lv/brivostas-parvalde/publiskie-iepirkumi/</w:t>
        </w:r>
      </w:hyperlink>
      <w:r w:rsidR="001D2C4C" w:rsidRPr="001D2C4C">
        <w:rPr>
          <w:rFonts w:ascii="Times New Roman" w:hAnsi="Times New Roman" w:cs="Times New Roman"/>
          <w:sz w:val="24"/>
          <w:szCs w:val="24"/>
        </w:rPr>
        <w:t xml:space="preserve"> un</w:t>
      </w:r>
      <w:r w:rsidR="001D2C4C">
        <w:t xml:space="preserve">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1A2AEE">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432D16">
        <w:rPr>
          <w:rFonts w:ascii="Times New Roman" w:eastAsia="Times New Roman" w:hAnsi="Times New Roman" w:cs="Times New Roman"/>
          <w:b/>
          <w:bCs/>
          <w:color w:val="000000"/>
          <w:sz w:val="24"/>
          <w:szCs w:val="24"/>
        </w:rPr>
        <w:t>12.oktobrim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82300F" w:rsidRPr="00FD70BA">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2DD8645C" w14:textId="4DB6B269" w:rsidR="001D2C4C" w:rsidRPr="001D2C4C" w:rsidRDefault="00136132" w:rsidP="00754DC7">
      <w:pPr>
        <w:numPr>
          <w:ilvl w:val="1"/>
          <w:numId w:val="5"/>
        </w:numPr>
        <w:spacing w:after="0" w:line="240" w:lineRule="auto"/>
        <w:ind w:left="851" w:hanging="425"/>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1D2C4C">
        <w:rPr>
          <w:rFonts w:ascii="Times New Roman" w:eastAsia="Times New Roman" w:hAnsi="Times New Roman" w:cs="Times New Roman"/>
          <w:bCs/>
          <w:sz w:val="24"/>
          <w:szCs w:val="24"/>
        </w:rPr>
        <w:t xml:space="preserve"> </w:t>
      </w:r>
      <w:hyperlink r:id="rId13" w:history="1">
        <w:r w:rsidR="001D2C4C">
          <w:rPr>
            <w:rStyle w:val="Hyperlink"/>
            <w:rFonts w:ascii="Times New Roman" w:eastAsia="Times New Roman" w:hAnsi="Times New Roman" w:cs="Times New Roman"/>
            <w:sz w:val="24"/>
            <w:szCs w:val="24"/>
          </w:rPr>
          <w:t>https://www.portofventspils.lv/lv/brivostas-parvalde/publiskie-iepirkumi/</w:t>
        </w:r>
      </w:hyperlink>
      <w:r w:rsidRPr="00FD70BA">
        <w:rPr>
          <w:rFonts w:ascii="Times New Roman" w:eastAsia="Times New Roman" w:hAnsi="Times New Roman" w:cs="Times New Roman"/>
          <w:bCs/>
          <w:sz w:val="24"/>
          <w:szCs w:val="24"/>
        </w:rPr>
        <w:t xml:space="preserve"> un EIS pircēja profilā  </w:t>
      </w:r>
      <w:hyperlink r:id="rId14"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00E04AEE"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1D2C4C">
        <w:rPr>
          <w:rFonts w:ascii="Times New Roman" w:eastAsia="Times New Roman" w:hAnsi="Times New Roman" w:cs="Times New Roman"/>
          <w:b/>
          <w:sz w:val="24"/>
          <w:szCs w:val="24"/>
        </w:rPr>
        <w:t>1</w:t>
      </w:r>
      <w:r w:rsidRPr="00FD70BA">
        <w:rPr>
          <w:rFonts w:ascii="Times New Roman" w:eastAsia="Times New Roman" w:hAnsi="Times New Roman" w:cs="Times New Roman"/>
          <w:b/>
          <w:sz w:val="24"/>
          <w:szCs w:val="24"/>
        </w:rPr>
        <w:t xml:space="preserve"> (</w:t>
      </w:r>
      <w:r w:rsidR="001D2C4C">
        <w:rPr>
          <w:rFonts w:ascii="Times New Roman" w:eastAsia="Times New Roman" w:hAnsi="Times New Roman" w:cs="Times New Roman"/>
          <w:b/>
          <w:sz w:val="24"/>
          <w:szCs w:val="24"/>
        </w:rPr>
        <w:t>vienu</w:t>
      </w:r>
      <w:r w:rsidRPr="00FD70BA">
        <w:rPr>
          <w:rFonts w:ascii="Times New Roman" w:eastAsia="Times New Roman" w:hAnsi="Times New Roman" w:cs="Times New Roman"/>
          <w:b/>
          <w:sz w:val="24"/>
          <w:szCs w:val="24"/>
        </w:rPr>
        <w:t>) kalendāro mēne</w:t>
      </w:r>
      <w:r w:rsidR="001D2C4C">
        <w:rPr>
          <w:rFonts w:ascii="Times New Roman" w:eastAsia="Times New Roman" w:hAnsi="Times New Roman" w:cs="Times New Roman"/>
          <w:b/>
          <w:sz w:val="24"/>
          <w:szCs w:val="24"/>
        </w:rPr>
        <w:t>si</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754DC7">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432D16">
      <w:pPr>
        <w:pStyle w:val="Heading1"/>
      </w:pPr>
      <w:bookmarkStart w:id="4" w:name="_Toc380415501"/>
      <w:bookmarkStart w:id="5" w:name="_Toc115249306"/>
      <w:r w:rsidRPr="00FD70BA">
        <w:t>DALĪBAS NOSACĪJUMI IEPIRKUMA PROCEDŪRĀ</w:t>
      </w:r>
      <w:bookmarkEnd w:id="5"/>
    </w:p>
    <w:p w14:paraId="2FDCE827" w14:textId="77777777" w:rsidR="00306AA2" w:rsidRPr="00FD70BA" w:rsidRDefault="00306AA2" w:rsidP="00754DC7">
      <w:pPr>
        <w:pStyle w:val="ListParagraph"/>
        <w:numPr>
          <w:ilvl w:val="1"/>
          <w:numId w:val="5"/>
        </w:numPr>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754DC7">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432D16">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432D16">
      <w:pPr>
        <w:pStyle w:val="Heading1"/>
      </w:pPr>
      <w:bookmarkStart w:id="6" w:name="_Toc115249307"/>
      <w:r w:rsidRPr="00FD70BA">
        <w:lastRenderedPageBreak/>
        <w:t>IESNIEDZAMIE DOKUMENTI:</w:t>
      </w:r>
      <w:bookmarkEnd w:id="6"/>
    </w:p>
    <w:p w14:paraId="34C24C67" w14:textId="7352E504" w:rsidR="00E6652D" w:rsidRPr="00FD70BA" w:rsidRDefault="00E6652D" w:rsidP="00754DC7">
      <w:pPr>
        <w:pStyle w:val="ListParagraph"/>
        <w:keepLines/>
        <w:numPr>
          <w:ilvl w:val="1"/>
          <w:numId w:val="8"/>
        </w:numPr>
        <w:tabs>
          <w:tab w:val="left" w:pos="709"/>
          <w:tab w:val="left" w:pos="851"/>
        </w:tabs>
        <w:spacing w:after="0" w:line="240" w:lineRule="auto"/>
        <w:ind w:hanging="468"/>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754DC7">
      <w:pPr>
        <w:pStyle w:val="ListParagraph"/>
        <w:keepLines/>
        <w:numPr>
          <w:ilvl w:val="2"/>
          <w:numId w:val="8"/>
        </w:numPr>
        <w:tabs>
          <w:tab w:val="left" w:pos="709"/>
          <w:tab w:val="left" w:pos="851"/>
        </w:tabs>
        <w:spacing w:after="0" w:line="240" w:lineRule="auto"/>
        <w:ind w:left="1276" w:hanging="425"/>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754DC7">
      <w:pPr>
        <w:pStyle w:val="ListParagraph"/>
        <w:keepLines/>
        <w:numPr>
          <w:ilvl w:val="2"/>
          <w:numId w:val="8"/>
        </w:numPr>
        <w:tabs>
          <w:tab w:val="left" w:pos="709"/>
          <w:tab w:val="left" w:pos="851"/>
        </w:tabs>
        <w:spacing w:after="0" w:line="240" w:lineRule="auto"/>
        <w:ind w:left="1276" w:hanging="425"/>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F10F923" w14:textId="07F64472" w:rsidR="003C7635" w:rsidRPr="00FD70BA" w:rsidRDefault="00231A4B" w:rsidP="00432D16">
      <w:pPr>
        <w:pStyle w:val="Heading1"/>
      </w:pPr>
      <w:bookmarkStart w:id="7" w:name="_Toc115249308"/>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7"/>
    </w:p>
    <w:tbl>
      <w:tblPr>
        <w:tblStyle w:val="TableGrid"/>
        <w:tblW w:w="8642" w:type="dxa"/>
        <w:tblLook w:val="04A0" w:firstRow="1" w:lastRow="0" w:firstColumn="1" w:lastColumn="0" w:noHBand="0" w:noVBand="1"/>
      </w:tblPr>
      <w:tblGrid>
        <w:gridCol w:w="4340"/>
        <w:gridCol w:w="4302"/>
      </w:tblGrid>
      <w:tr w:rsidR="00231A4B" w:rsidRPr="00FD70BA" w14:paraId="37C7EE90" w14:textId="77777777" w:rsidTr="00F65124">
        <w:trPr>
          <w:trHeight w:val="497"/>
          <w:hidden/>
        </w:trPr>
        <w:tc>
          <w:tcPr>
            <w:tcW w:w="4340" w:type="dxa"/>
            <w:vAlign w:val="center"/>
          </w:tcPr>
          <w:p w14:paraId="126E08EE" w14:textId="77777777" w:rsidR="00680C3B" w:rsidRPr="00680C3B" w:rsidRDefault="00680C3B" w:rsidP="00680C3B">
            <w:pPr>
              <w:pStyle w:val="ListParagraph"/>
              <w:numPr>
                <w:ilvl w:val="0"/>
                <w:numId w:val="8"/>
              </w:numPr>
              <w:rPr>
                <w:rFonts w:ascii="Times New Roman" w:hAnsi="Times New Roman" w:cs="Times New Roman"/>
                <w:b/>
                <w:vanish/>
                <w:sz w:val="24"/>
                <w:szCs w:val="24"/>
                <w:lang w:eastAsia="lv-LV"/>
              </w:rPr>
            </w:pPr>
          </w:p>
          <w:p w14:paraId="29690D48" w14:textId="4A149391" w:rsidR="00231A4B" w:rsidRPr="00FD70BA" w:rsidRDefault="00FD70BA" w:rsidP="00680C3B">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02"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F65124">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02"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B42F46"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B42F46"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B42F46"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F65124">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02"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B42F46"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36CC520A" w14:textId="77777777" w:rsidR="00680C3B" w:rsidRPr="00680C3B" w:rsidRDefault="00680C3B" w:rsidP="00680C3B">
            <w:pPr>
              <w:pStyle w:val="ListParagraph"/>
              <w:numPr>
                <w:ilvl w:val="2"/>
                <w:numId w:val="8"/>
              </w:numPr>
              <w:tabs>
                <w:tab w:val="left" w:pos="362"/>
              </w:tabs>
              <w:jc w:val="both"/>
              <w:rPr>
                <w:rFonts w:ascii="Times New Roman" w:hAnsi="Times New Roman" w:cs="Times New Roman"/>
                <w:b/>
                <w:vanish/>
                <w:sz w:val="24"/>
                <w:szCs w:val="24"/>
              </w:rPr>
            </w:pPr>
            <w:bookmarkStart w:id="8" w:name="_Toc68870104"/>
            <w:bookmarkStart w:id="9" w:name="_Toc114746703"/>
            <w:bookmarkStart w:id="10" w:name="_Toc114749223"/>
            <w:bookmarkStart w:id="11" w:name="_Toc115249309"/>
            <w:bookmarkEnd w:id="8"/>
            <w:bookmarkEnd w:id="9"/>
            <w:bookmarkEnd w:id="10"/>
            <w:bookmarkEnd w:id="11"/>
          </w:p>
          <w:p w14:paraId="1E50A152" w14:textId="77777777" w:rsidR="00680C3B" w:rsidRPr="00680C3B" w:rsidRDefault="00680C3B" w:rsidP="00680C3B">
            <w:pPr>
              <w:pStyle w:val="ListParagraph"/>
              <w:numPr>
                <w:ilvl w:val="2"/>
                <w:numId w:val="8"/>
              </w:numPr>
              <w:tabs>
                <w:tab w:val="left" w:pos="362"/>
              </w:tabs>
              <w:jc w:val="both"/>
              <w:rPr>
                <w:rFonts w:ascii="Times New Roman" w:hAnsi="Times New Roman" w:cs="Times New Roman"/>
                <w:b/>
                <w:vanish/>
                <w:sz w:val="24"/>
                <w:szCs w:val="24"/>
              </w:rPr>
            </w:pPr>
          </w:p>
          <w:p w14:paraId="58F96D92" w14:textId="577428DE" w:rsidR="00FD70BA" w:rsidRPr="00FD70BA" w:rsidRDefault="00FD70BA" w:rsidP="00680C3B">
            <w:pPr>
              <w:pStyle w:val="ListParagraph"/>
              <w:numPr>
                <w:ilvl w:val="3"/>
                <w:numId w:val="8"/>
              </w:numPr>
              <w:tabs>
                <w:tab w:val="left" w:pos="362"/>
              </w:tabs>
              <w:ind w:left="78"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B42F46"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tiks </w:t>
            </w:r>
            <w:r w:rsidRPr="00FD70BA">
              <w:rPr>
                <w:rFonts w:ascii="Times New Roman" w:hAnsi="Times New Roman" w:cs="Times New Roman"/>
                <w:bCs/>
                <w:color w:val="000000"/>
                <w:sz w:val="24"/>
                <w:szCs w:val="24"/>
              </w:rPr>
              <w:lastRenderedPageBreak/>
              <w:t>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B42F46"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lastRenderedPageBreak/>
              <w:t>Vienošanās protokolam jāpievieno visu personu apvienības dalībnieku personu ar pārstāvības tiesībām parakstīta pilnvara par pilnvarotās personas nozīmēšanu.</w:t>
            </w:r>
          </w:p>
        </w:tc>
      </w:tr>
      <w:tr w:rsidR="00C8258E" w:rsidRPr="00FD70BA" w14:paraId="43477355" w14:textId="77777777" w:rsidTr="00F65124">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lastRenderedPageBreak/>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02"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00F88B12"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F65124">
        <w:tc>
          <w:tcPr>
            <w:tcW w:w="4340" w:type="dxa"/>
          </w:tcPr>
          <w:p w14:paraId="30893D0F" w14:textId="4FA21BF3"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E82AC9">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E82AC9">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.gads līdz piedāvājuma iesniegšanas termiņa pēdējai dienai) jābūt veikt</w:t>
            </w:r>
            <w:r w:rsidR="004D2A11">
              <w:rPr>
                <w:rFonts w:ascii="Times New Roman" w:eastAsia="Times New Roman" w:hAnsi="Times New Roman" w:cs="Times New Roman"/>
                <w:sz w:val="24"/>
                <w:szCs w:val="24"/>
                <w:lang w:eastAsia="lv-LV"/>
              </w:rPr>
              <w:t>am</w:t>
            </w:r>
            <w:r w:rsidRPr="00FD70BA">
              <w:rPr>
                <w:rFonts w:ascii="Times New Roman" w:eastAsia="Times New Roman" w:hAnsi="Times New Roman" w:cs="Times New Roman"/>
                <w:sz w:val="24"/>
                <w:szCs w:val="24"/>
                <w:lang w:eastAsia="lv-LV"/>
              </w:rPr>
              <w:t xml:space="preserve"> </w:t>
            </w:r>
            <w:r w:rsidR="004D2A11">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 (</w:t>
            </w:r>
            <w:r w:rsidR="004D2A11">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4D2A11">
              <w:rPr>
                <w:rFonts w:ascii="Times New Roman" w:eastAsia="Times New Roman" w:hAnsi="Times New Roman" w:cs="Times New Roman"/>
                <w:sz w:val="24"/>
                <w:szCs w:val="24"/>
                <w:lang w:eastAsia="lv-LV"/>
              </w:rPr>
              <w:t>am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02" w:type="dxa"/>
          </w:tcPr>
          <w:p w14:paraId="6FB0B9CB" w14:textId="5D154C3E" w:rsidR="0016003D" w:rsidRPr="001D2C4C" w:rsidRDefault="00E6652D" w:rsidP="001D2C4C">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B67882">
              <w:rPr>
                <w:rFonts w:ascii="Times New Roman" w:hAnsi="Times New Roman" w:cs="Times New Roman"/>
                <w:b/>
                <w:bCs/>
                <w:sz w:val="24"/>
                <w:szCs w:val="24"/>
              </w:rPr>
              <w:t>Veikto</w:t>
            </w:r>
            <w:r w:rsidRPr="00FD70BA">
              <w:rPr>
                <w:rFonts w:ascii="Times New Roman" w:hAnsi="Times New Roman" w:cs="Times New Roman"/>
                <w:sz w:val="24"/>
                <w:szCs w:val="24"/>
              </w:rPr>
              <w:t xml:space="preserve"> </w:t>
            </w:r>
            <w:r w:rsidRPr="00FD70BA">
              <w:rPr>
                <w:rFonts w:ascii="Times New Roman" w:hAnsi="Times New Roman" w:cs="Times New Roman"/>
                <w:b/>
                <w:sz w:val="24"/>
                <w:szCs w:val="24"/>
              </w:rPr>
              <w:t>darbu saraksts</w:t>
            </w:r>
            <w:r w:rsidRPr="00FD70BA">
              <w:rPr>
                <w:rFonts w:ascii="Times New Roman" w:hAnsi="Times New Roman" w:cs="Times New Roman"/>
                <w:sz w:val="24"/>
                <w:szCs w:val="24"/>
              </w:rPr>
              <w:t xml:space="preserve"> saskaņā ar šī nolikuma </w:t>
            </w:r>
            <w:r w:rsidRPr="00FD70BA">
              <w:rPr>
                <w:rFonts w:ascii="Times New Roman" w:hAnsi="Times New Roman" w:cs="Times New Roman"/>
                <w:b/>
                <w:sz w:val="24"/>
                <w:szCs w:val="24"/>
              </w:rPr>
              <w:t>3.pielikumu</w:t>
            </w:r>
            <w:r w:rsidRPr="00FD70BA">
              <w:rPr>
                <w:rFonts w:ascii="Times New Roman" w:hAnsi="Times New Roman" w:cs="Times New Roman"/>
                <w:sz w:val="24"/>
                <w:szCs w:val="24"/>
              </w:rPr>
              <w:t xml:space="preserve">, norādot </w:t>
            </w:r>
            <w:r w:rsidRPr="00FD70BA">
              <w:rPr>
                <w:rFonts w:ascii="Times New Roman" w:eastAsia="Times New Roman" w:hAnsi="Times New Roman" w:cs="Times New Roman"/>
                <w:sz w:val="24"/>
                <w:szCs w:val="24"/>
                <w:lang w:eastAsia="lv-LV"/>
              </w:rPr>
              <w:t>Iepriekšējo 3 (trīs) gadu laikā (201</w:t>
            </w:r>
            <w:r w:rsidR="00EC6FC1">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EC6FC1">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.gads līdz piedāvājuma iesniegšanas termiņa beigām) </w:t>
            </w:r>
            <w:r w:rsidRPr="00FD70BA">
              <w:rPr>
                <w:rFonts w:ascii="Times New Roman" w:eastAsia="Calibri" w:hAnsi="Times New Roman" w:cs="Times New Roman"/>
                <w:sz w:val="24"/>
                <w:szCs w:val="24"/>
              </w:rPr>
              <w:t xml:space="preserve">veiktos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DF3291" w:rsidRPr="00FD70BA">
              <w:rPr>
                <w:rFonts w:ascii="Times New Roman" w:eastAsia="Times New Roman" w:hAnsi="Times New Roman" w:cs="Times New Roman"/>
                <w:i/>
                <w:iCs/>
                <w:sz w:val="24"/>
                <w:szCs w:val="24"/>
                <w:lang w:eastAsia="lv-LV"/>
              </w:rPr>
              <w:t>.</w:t>
            </w:r>
            <w:r w:rsidRPr="00FD70BA">
              <w:rPr>
                <w:rFonts w:ascii="Times New Roman" w:eastAsia="Times New Roman" w:hAnsi="Times New Roman" w:cs="Times New Roman"/>
                <w:iCs/>
                <w:sz w:val="24"/>
                <w:szCs w:val="24"/>
                <w:lang w:eastAsia="lv-LV"/>
              </w:rPr>
              <w:t xml:space="preserve"> </w:t>
            </w:r>
          </w:p>
        </w:tc>
      </w:tr>
      <w:tr w:rsidR="00E52E68" w14:paraId="6144B1E3" w14:textId="77777777" w:rsidTr="00F65124">
        <w:tc>
          <w:tcPr>
            <w:tcW w:w="4340" w:type="dxa"/>
            <w:tcBorders>
              <w:top w:val="single" w:sz="4" w:space="0" w:color="auto"/>
              <w:left w:val="single" w:sz="4" w:space="0" w:color="auto"/>
              <w:bottom w:val="single" w:sz="4" w:space="0" w:color="auto"/>
              <w:right w:val="single" w:sz="4" w:space="0" w:color="auto"/>
            </w:tcBorders>
            <w:hideMark/>
          </w:tcPr>
          <w:p w14:paraId="0DD12BA5" w14:textId="17408AF1" w:rsidR="00E52E68" w:rsidRPr="00E52E68" w:rsidRDefault="00E52E68" w:rsidP="00E52E68">
            <w:pPr>
              <w:pStyle w:val="ListParagraph"/>
              <w:numPr>
                <w:ilvl w:val="2"/>
                <w:numId w:val="16"/>
              </w:numPr>
              <w:tabs>
                <w:tab w:val="left" w:pos="313"/>
              </w:tabs>
              <w:ind w:left="0" w:firstLine="29"/>
              <w:jc w:val="both"/>
              <w:rPr>
                <w:rFonts w:ascii="Times New Roman" w:eastAsia="Times New Roman" w:hAnsi="Times New Roman" w:cs="Times New Roman"/>
                <w:sz w:val="24"/>
                <w:szCs w:val="24"/>
                <w:lang w:eastAsia="lv-LV"/>
              </w:rPr>
            </w:pPr>
            <w:r w:rsidRPr="00E52E68">
              <w:rPr>
                <w:rFonts w:ascii="Times New Roman" w:eastAsia="Times New Roman" w:hAnsi="Times New Roman" w:cs="Times New Roman"/>
                <w:sz w:val="24"/>
                <w:szCs w:val="24"/>
                <w:lang w:eastAsia="lv-LV"/>
              </w:rPr>
              <w:t>Pretendenta rīcībā jābūt vismaz 1 (vienam) licencētas firmas sertificētam speciālistam ar tiesībām veikt kuģu konstrukciju metināšanu visos tehniskos stāvokļos.</w:t>
            </w:r>
          </w:p>
        </w:tc>
        <w:tc>
          <w:tcPr>
            <w:tcW w:w="4302" w:type="dxa"/>
            <w:tcBorders>
              <w:top w:val="single" w:sz="4" w:space="0" w:color="auto"/>
              <w:left w:val="single" w:sz="4" w:space="0" w:color="auto"/>
              <w:bottom w:val="single" w:sz="4" w:space="0" w:color="auto"/>
              <w:right w:val="single" w:sz="4" w:space="0" w:color="auto"/>
            </w:tcBorders>
            <w:hideMark/>
          </w:tcPr>
          <w:p w14:paraId="2C840F1E" w14:textId="77777777" w:rsidR="00E52E68" w:rsidRDefault="00E52E68" w:rsidP="00E52E68">
            <w:pPr>
              <w:pStyle w:val="ListParagraph"/>
              <w:numPr>
                <w:ilvl w:val="2"/>
                <w:numId w:val="8"/>
              </w:numPr>
              <w:tabs>
                <w:tab w:val="left" w:pos="0"/>
              </w:tabs>
              <w:ind w:left="0" w:firstLine="0"/>
              <w:jc w:val="both"/>
              <w:rPr>
                <w:rFonts w:ascii="Times New Roman" w:hAnsi="Times New Roman" w:cs="Times New Roman"/>
                <w:sz w:val="24"/>
                <w:szCs w:val="24"/>
              </w:rPr>
            </w:pPr>
            <w:r>
              <w:rPr>
                <w:rFonts w:ascii="Times New Roman" w:eastAsia="Calibri" w:hAnsi="Times New Roman" w:cs="Times New Roman"/>
                <w:bCs/>
                <w:sz w:val="24"/>
                <w:szCs w:val="24"/>
              </w:rPr>
              <w:t>Jāiesniedz informācija par Pretendenta piedāvāto speciālistu (vismaz 1 (viens) licencētas firmas sertificēts speciālists ar tiesībām veikt kuģu konstrukciju metināšanu visos tehniskos stāvokļos).</w:t>
            </w:r>
          </w:p>
        </w:tc>
      </w:tr>
      <w:tr w:rsidR="00A92AAA" w:rsidRPr="00FD70BA" w14:paraId="077D73A0" w14:textId="77777777" w:rsidTr="00F65124">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02"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F65124">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02" w:type="dxa"/>
          </w:tcPr>
          <w:p w14:paraId="693DAC36" w14:textId="3C51221D"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F65124">
        <w:tc>
          <w:tcPr>
            <w:tcW w:w="4340" w:type="dxa"/>
          </w:tcPr>
          <w:p w14:paraId="0D919201" w14:textId="4929D87E"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w:t>
            </w:r>
            <w:hyperlink r:id="rId15" w:history="1">
              <w:r w:rsidR="001D2C4C" w:rsidRPr="00FF2E76">
                <w:rPr>
                  <w:rStyle w:val="Hyperlink"/>
                  <w:rFonts w:ascii="Times New Roman" w:eastAsia="Times New Roman" w:hAnsi="Times New Roman" w:cs="Times New Roman"/>
                  <w:sz w:val="24"/>
                  <w:szCs w:val="24"/>
                  <w:lang w:eastAsia="lv-LV"/>
                </w:rPr>
                <w:t>http://espd.eis.gov.lv/</w:t>
              </w:r>
            </w:hyperlink>
            <w:r w:rsidRPr="00953A15">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02"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 xml:space="preserve">Ja Pretendenta atbilstība atlases prasībām ir ietverta vai izriet no informācijas, kas sniegta Eiropas vienotajā </w:t>
            </w:r>
            <w:r w:rsidRPr="00953A15">
              <w:rPr>
                <w:rFonts w:ascii="Times New Roman" w:hAnsi="Times New Roman" w:cs="Times New Roman"/>
                <w:iCs/>
                <w:sz w:val="24"/>
                <w:szCs w:val="24"/>
              </w:rPr>
              <w:lastRenderedPageBreak/>
              <w:t>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FD70BA" w:rsidRDefault="00CF49C2" w:rsidP="00432D16">
      <w:pPr>
        <w:pStyle w:val="Heading1"/>
      </w:pPr>
      <w:bookmarkStart w:id="12" w:name="_Toc115249311"/>
      <w:r w:rsidRPr="00FD70BA">
        <w:lastRenderedPageBreak/>
        <w:t xml:space="preserve">TEHNISKAIS PIEDĀVĀJUMS UN </w:t>
      </w:r>
      <w:r w:rsidR="0011381D" w:rsidRPr="00FD70BA">
        <w:t>FINANŠU PIEDĀVĀJUMS</w:t>
      </w:r>
      <w:bookmarkEnd w:id="12"/>
    </w:p>
    <w:p w14:paraId="20270573" w14:textId="30CA3B20" w:rsidR="0011381D" w:rsidRPr="00432D16" w:rsidRDefault="0011381D" w:rsidP="00432D16">
      <w:pPr>
        <w:pStyle w:val="ListParagraph"/>
        <w:numPr>
          <w:ilvl w:val="1"/>
          <w:numId w:val="5"/>
        </w:numPr>
        <w:spacing w:after="0" w:line="240" w:lineRule="auto"/>
        <w:jc w:val="both"/>
        <w:rPr>
          <w:rFonts w:ascii="Times New Roman" w:hAnsi="Times New Roman" w:cs="Times New Roman"/>
          <w:b/>
          <w:bCs/>
          <w:sz w:val="24"/>
          <w:szCs w:val="24"/>
        </w:rPr>
      </w:pPr>
      <w:r w:rsidRPr="00432D16">
        <w:rPr>
          <w:rFonts w:ascii="Times New Roman" w:hAnsi="Times New Roman" w:cs="Times New Roman"/>
          <w:bCs/>
          <w:sz w:val="24"/>
          <w:szCs w:val="24"/>
        </w:rPr>
        <w:t xml:space="preserve">Pretendentam jāiesniedz pieteikums dalībai Iepirkuma procedūrā atbilstoši </w:t>
      </w:r>
      <w:r w:rsidR="00AA03B3" w:rsidRPr="00432D16">
        <w:rPr>
          <w:rFonts w:ascii="Times New Roman" w:hAnsi="Times New Roman" w:cs="Times New Roman"/>
          <w:b/>
          <w:sz w:val="24"/>
          <w:szCs w:val="24"/>
        </w:rPr>
        <w:t>2.pielikumā</w:t>
      </w:r>
      <w:r w:rsidRPr="00432D16">
        <w:rPr>
          <w:rFonts w:ascii="Times New Roman" w:hAnsi="Times New Roman" w:cs="Times New Roman"/>
          <w:bCs/>
          <w:sz w:val="24"/>
          <w:szCs w:val="24"/>
        </w:rPr>
        <w:t xml:space="preserve"> pievienotajai veidnei.</w:t>
      </w:r>
    </w:p>
    <w:p w14:paraId="158D2ACA" w14:textId="437079A5" w:rsidR="0011381D" w:rsidRPr="00FD70BA" w:rsidRDefault="0011381D" w:rsidP="00432D16">
      <w:pPr>
        <w:numPr>
          <w:ilvl w:val="1"/>
          <w:numId w:val="5"/>
        </w:numPr>
        <w:spacing w:after="0" w:line="240" w:lineRule="auto"/>
        <w:ind w:left="851" w:hanging="425"/>
        <w:jc w:val="both"/>
        <w:rPr>
          <w:rFonts w:ascii="Times New Roman" w:hAnsi="Times New Roman" w:cs="Times New Roman"/>
          <w:b/>
          <w:bCs/>
          <w:sz w:val="24"/>
          <w:szCs w:val="24"/>
        </w:rPr>
      </w:pPr>
      <w:r w:rsidRPr="00FD70BA">
        <w:rPr>
          <w:rFonts w:ascii="Times New Roman" w:hAnsi="Times New Roman" w:cs="Times New Roman"/>
          <w:bCs/>
          <w:sz w:val="24"/>
          <w:szCs w:val="24"/>
        </w:rPr>
        <w:t xml:space="preserve">Darbu tāme, kas sagatavota ņemot vērā šī Nolikuma </w:t>
      </w:r>
      <w:r w:rsidR="0082300F" w:rsidRPr="001D2C4C">
        <w:rPr>
          <w:rFonts w:ascii="Times New Roman" w:hAnsi="Times New Roman" w:cs="Times New Roman"/>
          <w:b/>
          <w:sz w:val="24"/>
          <w:szCs w:val="24"/>
        </w:rPr>
        <w:t>1</w:t>
      </w:r>
      <w:r w:rsidRPr="001D2C4C">
        <w:rPr>
          <w:rFonts w:ascii="Times New Roman" w:hAnsi="Times New Roman" w:cs="Times New Roman"/>
          <w:b/>
          <w:sz w:val="24"/>
          <w:szCs w:val="24"/>
        </w:rPr>
        <w:t>.pielikumā</w:t>
      </w:r>
      <w:r w:rsidRPr="00FD70BA">
        <w:rPr>
          <w:rFonts w:ascii="Times New Roman" w:hAnsi="Times New Roman" w:cs="Times New Roman"/>
          <w:bCs/>
          <w:sz w:val="24"/>
          <w:szCs w:val="24"/>
        </w:rPr>
        <w:t xml:space="preserve"> pievienotās darbu apjomu tabulas.</w:t>
      </w:r>
    </w:p>
    <w:p w14:paraId="375F9754" w14:textId="77777777" w:rsidR="00AB755F" w:rsidRPr="00FD70BA" w:rsidRDefault="00AB755F" w:rsidP="00432D16">
      <w:pPr>
        <w:pStyle w:val="Heading1"/>
      </w:pPr>
      <w:bookmarkStart w:id="13" w:name="_Toc115249312"/>
      <w:r w:rsidRPr="00FD70BA">
        <w:t>PIEDĀVĀJUMA SAGATAVOŠANA UN NOFORMĒŠANA</w:t>
      </w:r>
      <w:bookmarkEnd w:id="13"/>
    </w:p>
    <w:p w14:paraId="56FAB9A1" w14:textId="4BA56F60" w:rsidR="00CF49C2" w:rsidRPr="00FD70BA" w:rsidRDefault="00CF49C2" w:rsidP="00432D16">
      <w:pPr>
        <w:pStyle w:val="ListParagraph"/>
        <w:numPr>
          <w:ilvl w:val="1"/>
          <w:numId w:val="5"/>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432D1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432D1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432D1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4DC5F55D" w:rsidR="0082300F" w:rsidRPr="00FD70BA" w:rsidRDefault="004A0143" w:rsidP="00432D1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P</w:t>
      </w:r>
      <w:r w:rsidR="00432D16">
        <w:rPr>
          <w:rFonts w:ascii="Times New Roman" w:hAnsi="Times New Roman" w:cs="Times New Roman"/>
          <w:sz w:val="24"/>
          <w:szCs w:val="24"/>
          <w:lang w:eastAsia="x-none"/>
        </w:rPr>
        <w:t>i</w:t>
      </w:r>
      <w:r w:rsidRPr="00FD70BA">
        <w:rPr>
          <w:rFonts w:ascii="Times New Roman" w:hAnsi="Times New Roman" w:cs="Times New Roman"/>
          <w:sz w:val="24"/>
          <w:szCs w:val="24"/>
          <w:lang w:eastAsia="x-none"/>
        </w:rPr>
        <w:t>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432D16">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432D16">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432D16">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432D16">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432D16">
      <w:pPr>
        <w:pStyle w:val="ListParagraph"/>
        <w:numPr>
          <w:ilvl w:val="1"/>
          <w:numId w:val="5"/>
        </w:numPr>
        <w:tabs>
          <w:tab w:val="left" w:pos="567"/>
          <w:tab w:val="left" w:pos="851"/>
        </w:tabs>
        <w:spacing w:after="0"/>
        <w:ind w:left="851"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FD70BA" w:rsidRDefault="00E6652D" w:rsidP="00432D16">
      <w:pPr>
        <w:pStyle w:val="Heading1"/>
      </w:pPr>
      <w:bookmarkStart w:id="14" w:name="_Toc115249313"/>
      <w:r w:rsidRPr="00FD70BA">
        <w:t>PIEDĀVĀJUMA IESNIEGŠANA UN ATVĒRŠANA</w:t>
      </w:r>
      <w:bookmarkEnd w:id="14"/>
    </w:p>
    <w:p w14:paraId="4E625246" w14:textId="74A9BAD4" w:rsidR="00E6652D" w:rsidRPr="00FD70BA" w:rsidRDefault="00E6652D" w:rsidP="00432D16">
      <w:pPr>
        <w:numPr>
          <w:ilvl w:val="1"/>
          <w:numId w:val="5"/>
        </w:numPr>
        <w:spacing w:after="0" w:line="240" w:lineRule="auto"/>
        <w:ind w:left="851" w:hanging="426"/>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sidR="0026036C">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014941">
        <w:rPr>
          <w:rFonts w:ascii="Times New Roman" w:hAnsi="Times New Roman" w:cs="Times New Roman"/>
          <w:b/>
          <w:bCs/>
          <w:sz w:val="24"/>
          <w:szCs w:val="24"/>
        </w:rPr>
        <w:t>12.oktobrim</w:t>
      </w:r>
      <w:r w:rsidRPr="00FD70BA">
        <w:rPr>
          <w:rFonts w:ascii="Times New Roman" w:hAnsi="Times New Roman" w:cs="Times New Roman"/>
          <w:b/>
          <w:bCs/>
          <w:sz w:val="24"/>
          <w:szCs w:val="24"/>
        </w:rPr>
        <w:t xml:space="preserve"> plkst. 1</w:t>
      </w:r>
      <w:r w:rsidR="0082300F" w:rsidRPr="00FD70BA">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432D16">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432D16">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w:t>
      </w:r>
      <w:r w:rsidRPr="00FD70BA">
        <w:rPr>
          <w:rFonts w:ascii="Times New Roman" w:hAnsi="Times New Roman" w:cs="Times New Roman"/>
          <w:sz w:val="24"/>
          <w:szCs w:val="24"/>
        </w:rPr>
        <w:lastRenderedPageBreak/>
        <w:t>ir atbildīgs par aizpildāmo formu atbilstību dokumentācijas prasībām un formu paraugiem, kā arī dokumenta atvēršanas un nolasīšanas iespējām).</w:t>
      </w:r>
    </w:p>
    <w:p w14:paraId="4224A1BC" w14:textId="77777777" w:rsidR="00E6652D" w:rsidRPr="00FD70BA" w:rsidRDefault="00E6652D" w:rsidP="00432D16">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432D1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173F80ED" w:rsidR="00E6652D" w:rsidRPr="00FD70BA" w:rsidRDefault="00E6652D" w:rsidP="00432D1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FD70BA">
        <w:rPr>
          <w:rFonts w:ascii="Times New Roman" w:hAnsi="Times New Roman" w:cs="Times New Roman"/>
          <w:b/>
          <w:sz w:val="24"/>
          <w:szCs w:val="24"/>
        </w:rPr>
        <w:t>202</w:t>
      </w:r>
      <w:r w:rsidR="0026036C">
        <w:rPr>
          <w:rFonts w:ascii="Times New Roman" w:hAnsi="Times New Roman" w:cs="Times New Roman"/>
          <w:b/>
          <w:sz w:val="24"/>
          <w:szCs w:val="24"/>
        </w:rPr>
        <w:t>2</w:t>
      </w:r>
      <w:r w:rsidRPr="00FD70BA">
        <w:rPr>
          <w:rFonts w:ascii="Times New Roman" w:hAnsi="Times New Roman" w:cs="Times New Roman"/>
          <w:b/>
          <w:sz w:val="24"/>
          <w:szCs w:val="24"/>
        </w:rPr>
        <w:t xml:space="preserve">.gada </w:t>
      </w:r>
      <w:r w:rsidR="00014941">
        <w:rPr>
          <w:rFonts w:ascii="Times New Roman" w:hAnsi="Times New Roman" w:cs="Times New Roman"/>
          <w:b/>
          <w:sz w:val="24"/>
          <w:szCs w:val="24"/>
        </w:rPr>
        <w:t>12.oktobrī</w:t>
      </w:r>
      <w:r w:rsidRPr="00FD70BA">
        <w:rPr>
          <w:rFonts w:ascii="Times New Roman" w:hAnsi="Times New Roman" w:cs="Times New Roman"/>
          <w:b/>
          <w:sz w:val="24"/>
          <w:szCs w:val="24"/>
        </w:rPr>
        <w:t xml:space="preserve"> plkst. 1</w:t>
      </w:r>
      <w:r w:rsidR="001A5C93" w:rsidRPr="00FD70BA">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432D1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432D16">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432D16">
      <w:pPr>
        <w:numPr>
          <w:ilvl w:val="2"/>
          <w:numId w:val="5"/>
        </w:numPr>
        <w:tabs>
          <w:tab w:val="left" w:pos="1560"/>
        </w:tabs>
        <w:spacing w:after="0" w:line="240" w:lineRule="auto"/>
        <w:ind w:left="1418" w:hanging="567"/>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432D16">
      <w:pPr>
        <w:numPr>
          <w:ilvl w:val="1"/>
          <w:numId w:val="5"/>
        </w:numPr>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432D16">
      <w:pPr>
        <w:numPr>
          <w:ilvl w:val="1"/>
          <w:numId w:val="5"/>
        </w:numPr>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432D16">
      <w:pPr>
        <w:numPr>
          <w:ilvl w:val="1"/>
          <w:numId w:val="5"/>
        </w:numPr>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432D16">
      <w:pPr>
        <w:numPr>
          <w:ilvl w:val="1"/>
          <w:numId w:val="5"/>
        </w:numPr>
        <w:spacing w:after="0" w:line="240" w:lineRule="auto"/>
        <w:ind w:left="851" w:hanging="425"/>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432D16">
      <w:pPr>
        <w:pStyle w:val="Heading1"/>
      </w:pPr>
      <w:bookmarkStart w:id="15" w:name="_Toc115249314"/>
      <w:r w:rsidRPr="00FD70BA">
        <w:t>CITI NOTEIKUMI</w:t>
      </w:r>
      <w:bookmarkEnd w:id="15"/>
    </w:p>
    <w:p w14:paraId="5F56CB01" w14:textId="77777777" w:rsidR="005B633C" w:rsidRPr="00FD70BA" w:rsidRDefault="005B633C" w:rsidP="00432D16">
      <w:pPr>
        <w:pStyle w:val="naisf"/>
        <w:numPr>
          <w:ilvl w:val="1"/>
          <w:numId w:val="5"/>
        </w:numPr>
        <w:spacing w:before="0" w:beforeAutospacing="0" w:after="0" w:afterAutospacing="0"/>
        <w:ind w:left="851" w:hanging="567"/>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432D16">
      <w:pPr>
        <w:pStyle w:val="naisf"/>
        <w:numPr>
          <w:ilvl w:val="1"/>
          <w:numId w:val="5"/>
        </w:numPr>
        <w:spacing w:before="0" w:beforeAutospacing="0" w:after="0" w:afterAutospacing="0"/>
        <w:ind w:left="851" w:hanging="567"/>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432D16">
      <w:pPr>
        <w:pStyle w:val="naisf"/>
        <w:numPr>
          <w:ilvl w:val="1"/>
          <w:numId w:val="5"/>
        </w:numPr>
        <w:spacing w:before="0" w:beforeAutospacing="0" w:after="0" w:afterAutospacing="0"/>
        <w:ind w:left="851" w:hanging="567"/>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w:t>
      </w:r>
      <w:r w:rsidRPr="00953A15">
        <w:rPr>
          <w:lang w:val="lv-LV"/>
        </w:rPr>
        <w:lastRenderedPageBreak/>
        <w:t xml:space="preserve">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CE2363">
      <w:pPr>
        <w:pStyle w:val="BlockText"/>
        <w:ind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432D16">
      <w:pPr>
        <w:pStyle w:val="naisf"/>
        <w:numPr>
          <w:ilvl w:val="1"/>
          <w:numId w:val="5"/>
        </w:numPr>
        <w:spacing w:before="0" w:beforeAutospacing="0" w:after="0" w:afterAutospacing="0"/>
        <w:ind w:left="851" w:hanging="497"/>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432D16">
      <w:pPr>
        <w:pStyle w:val="naisf"/>
        <w:numPr>
          <w:ilvl w:val="1"/>
          <w:numId w:val="5"/>
        </w:numPr>
        <w:spacing w:before="0" w:beforeAutospacing="0" w:after="0" w:afterAutospacing="0"/>
        <w:ind w:left="851" w:hanging="497"/>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432D16">
      <w:pPr>
        <w:pStyle w:val="naisf"/>
        <w:numPr>
          <w:ilvl w:val="1"/>
          <w:numId w:val="5"/>
        </w:numPr>
        <w:spacing w:before="0" w:beforeAutospacing="0" w:after="0" w:afterAutospacing="0"/>
        <w:ind w:left="851" w:hanging="497"/>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432D16">
      <w:pPr>
        <w:pStyle w:val="naisf"/>
        <w:numPr>
          <w:ilvl w:val="1"/>
          <w:numId w:val="5"/>
        </w:numPr>
        <w:spacing w:before="60" w:beforeAutospacing="0" w:after="60" w:afterAutospacing="0"/>
        <w:ind w:left="851" w:hanging="499"/>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432D16">
      <w:pPr>
        <w:pStyle w:val="naisf"/>
        <w:numPr>
          <w:ilvl w:val="1"/>
          <w:numId w:val="5"/>
        </w:numPr>
        <w:spacing w:before="60" w:beforeAutospacing="0" w:after="60" w:afterAutospacing="0"/>
        <w:ind w:left="851" w:hanging="499"/>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432D16">
      <w:pPr>
        <w:pStyle w:val="naisf"/>
        <w:numPr>
          <w:ilvl w:val="1"/>
          <w:numId w:val="5"/>
        </w:numPr>
        <w:spacing w:before="0" w:beforeAutospacing="0" w:after="0" w:afterAutospacing="0"/>
        <w:ind w:left="851" w:hanging="497"/>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432D16">
      <w:pPr>
        <w:pStyle w:val="naisf"/>
        <w:numPr>
          <w:ilvl w:val="1"/>
          <w:numId w:val="5"/>
        </w:numPr>
        <w:spacing w:before="0" w:beforeAutospacing="0" w:after="0" w:afterAutospacing="0"/>
        <w:ind w:left="851" w:hanging="709"/>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CE2363">
      <w:pPr>
        <w:pStyle w:val="BlockText"/>
        <w:ind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432D16">
      <w:pPr>
        <w:pStyle w:val="naisf"/>
        <w:numPr>
          <w:ilvl w:val="1"/>
          <w:numId w:val="5"/>
        </w:numPr>
        <w:spacing w:before="0" w:beforeAutospacing="0" w:after="0" w:afterAutospacing="0"/>
        <w:ind w:left="851" w:hanging="709"/>
        <w:rPr>
          <w:lang w:val="lv-LV"/>
        </w:rPr>
      </w:pPr>
      <w:r w:rsidRPr="00FD70BA">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w:t>
      </w:r>
      <w:r w:rsidRPr="00FD70BA">
        <w:rPr>
          <w:lang w:val="lv-LV"/>
        </w:rPr>
        <w:lastRenderedPageBreak/>
        <w:t>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432D16">
      <w:pPr>
        <w:pStyle w:val="naisf"/>
        <w:numPr>
          <w:ilvl w:val="1"/>
          <w:numId w:val="5"/>
        </w:numPr>
        <w:spacing w:before="0" w:beforeAutospacing="0" w:after="0" w:afterAutospacing="0"/>
        <w:ind w:left="851" w:hanging="709"/>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432D16">
      <w:pPr>
        <w:pStyle w:val="naisf"/>
        <w:numPr>
          <w:ilvl w:val="1"/>
          <w:numId w:val="5"/>
        </w:numPr>
        <w:spacing w:before="0" w:beforeAutospacing="0" w:after="0" w:afterAutospacing="0"/>
        <w:ind w:left="851" w:hanging="709"/>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432D16">
      <w:pPr>
        <w:pStyle w:val="naisf"/>
        <w:numPr>
          <w:ilvl w:val="1"/>
          <w:numId w:val="5"/>
        </w:numPr>
        <w:spacing w:before="0" w:beforeAutospacing="0" w:after="0" w:afterAutospacing="0"/>
        <w:ind w:left="851" w:hanging="709"/>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CE2363">
      <w:pPr>
        <w:pStyle w:val="BlockText"/>
        <w:ind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CE2363">
      <w:pPr>
        <w:pStyle w:val="BlockText"/>
        <w:ind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432D16">
      <w:pPr>
        <w:pStyle w:val="naisf"/>
        <w:numPr>
          <w:ilvl w:val="1"/>
          <w:numId w:val="5"/>
        </w:numPr>
        <w:spacing w:before="0" w:beforeAutospacing="0" w:after="0" w:afterAutospacing="0"/>
        <w:ind w:left="851" w:hanging="709"/>
        <w:rPr>
          <w:lang w:val="lv-LV"/>
        </w:rPr>
      </w:pPr>
      <w:r w:rsidRPr="00FD70BA">
        <w:rPr>
          <w:lang w:val="lv-LV"/>
        </w:rPr>
        <w:t>Pasūtītājs ir tiesīgs līdz iepirkuma līguma noslēgšanai pārtraukt iepirkuma procedūru, ja tam ir objektīvs pamatojums.</w:t>
      </w:r>
    </w:p>
    <w:p w14:paraId="6180A476" w14:textId="77777777" w:rsidR="005B633C" w:rsidRPr="00FD70BA" w:rsidRDefault="005B633C" w:rsidP="00432D16">
      <w:pPr>
        <w:pStyle w:val="Heading1"/>
      </w:pPr>
      <w:bookmarkStart w:id="16" w:name="_Toc115249315"/>
      <w:r w:rsidRPr="00FD70BA">
        <w:t>IEPIRKUMA LĪGUMA SLĒGŠANA</w:t>
      </w:r>
      <w:bookmarkEnd w:id="16"/>
    </w:p>
    <w:p w14:paraId="14691425" w14:textId="5189A5B9" w:rsidR="00A95A53" w:rsidRDefault="00A95A53" w:rsidP="00432D16">
      <w:pPr>
        <w:pStyle w:val="ListParagraph"/>
        <w:numPr>
          <w:ilvl w:val="1"/>
          <w:numId w:val="5"/>
        </w:numPr>
        <w:spacing w:after="120" w:line="240" w:lineRule="auto"/>
        <w:ind w:left="851" w:hanging="567"/>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epirkuma līguma slēgšanas tiesības tiek piešķirtas personu apvienībai, kas iepirkuma līguma izpildei ir vienojusies, noslēdzot sabiedrības līgumu, iepirkuma līgumu paraksta visi sabiedrības līguma biedri.</w:t>
      </w:r>
    </w:p>
    <w:p w14:paraId="1F322806" w14:textId="1E369068" w:rsidR="005B633C" w:rsidRPr="00A95A53" w:rsidRDefault="005B633C" w:rsidP="00432D16">
      <w:pPr>
        <w:pStyle w:val="ListParagraph"/>
        <w:numPr>
          <w:ilvl w:val="1"/>
          <w:numId w:val="5"/>
        </w:numPr>
        <w:spacing w:after="120" w:line="240" w:lineRule="auto"/>
        <w:ind w:left="851" w:hanging="567"/>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E98D" w14:textId="77777777" w:rsidR="003E10B3" w:rsidRDefault="003E10B3">
      <w:pPr>
        <w:spacing w:after="0" w:line="240" w:lineRule="auto"/>
      </w:pPr>
      <w:r>
        <w:separator/>
      </w:r>
    </w:p>
  </w:endnote>
  <w:endnote w:type="continuationSeparator" w:id="0">
    <w:p w14:paraId="78FF8E51" w14:textId="77777777" w:rsidR="003E10B3" w:rsidRDefault="003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A95A53">
          <w:rPr>
            <w:noProof/>
          </w:rPr>
          <w:t>14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03DD" w14:textId="77777777" w:rsidR="003E10B3" w:rsidRDefault="003E10B3">
      <w:pPr>
        <w:spacing w:after="0" w:line="240" w:lineRule="auto"/>
      </w:pPr>
      <w:r>
        <w:separator/>
      </w:r>
    </w:p>
  </w:footnote>
  <w:footnote w:type="continuationSeparator" w:id="0">
    <w:p w14:paraId="0F2AA488" w14:textId="77777777" w:rsidR="003E10B3" w:rsidRDefault="003E10B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338602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7098512">
    <w:abstractNumId w:val="13"/>
  </w:num>
  <w:num w:numId="2" w16cid:durableId="1597131964">
    <w:abstractNumId w:val="11"/>
  </w:num>
  <w:num w:numId="3" w16cid:durableId="1508669876">
    <w:abstractNumId w:val="3"/>
  </w:num>
  <w:num w:numId="4" w16cid:durableId="1071849752">
    <w:abstractNumId w:val="9"/>
  </w:num>
  <w:num w:numId="5" w16cid:durableId="1562474180">
    <w:abstractNumId w:val="1"/>
  </w:num>
  <w:num w:numId="6" w16cid:durableId="1453941562">
    <w:abstractNumId w:val="7"/>
  </w:num>
  <w:num w:numId="7" w16cid:durableId="840584845">
    <w:abstractNumId w:val="5"/>
  </w:num>
  <w:num w:numId="8" w16cid:durableId="192761338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416370">
    <w:abstractNumId w:val="10"/>
  </w:num>
  <w:num w:numId="10" w16cid:durableId="997224541">
    <w:abstractNumId w:val="0"/>
  </w:num>
  <w:num w:numId="11" w16cid:durableId="157580059">
    <w:abstractNumId w:val="12"/>
  </w:num>
  <w:num w:numId="12" w16cid:durableId="36442187">
    <w:abstractNumId w:val="8"/>
  </w:num>
  <w:num w:numId="13" w16cid:durableId="1250193804">
    <w:abstractNumId w:val="4"/>
  </w:num>
  <w:num w:numId="14" w16cid:durableId="1369725446">
    <w:abstractNumId w:val="6"/>
  </w:num>
  <w:num w:numId="15" w16cid:durableId="200480414">
    <w:abstractNumId w:val="7"/>
  </w:num>
  <w:num w:numId="16" w16cid:durableId="1494834219">
    <w:abstractNumId w:val="2"/>
  </w:num>
  <w:num w:numId="17" w16cid:durableId="1495028775">
    <w:abstractNumId w:val="2"/>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4941"/>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2AEE"/>
    <w:rsid w:val="001A3E0D"/>
    <w:rsid w:val="001A3FFB"/>
    <w:rsid w:val="001A484B"/>
    <w:rsid w:val="001A4C2B"/>
    <w:rsid w:val="001A5C93"/>
    <w:rsid w:val="001B41D8"/>
    <w:rsid w:val="001B4F4D"/>
    <w:rsid w:val="001B4F80"/>
    <w:rsid w:val="001B5798"/>
    <w:rsid w:val="001D0CD1"/>
    <w:rsid w:val="001D1B22"/>
    <w:rsid w:val="001D2183"/>
    <w:rsid w:val="001D2C4C"/>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036C"/>
    <w:rsid w:val="00263D98"/>
    <w:rsid w:val="00285180"/>
    <w:rsid w:val="0028534A"/>
    <w:rsid w:val="00290173"/>
    <w:rsid w:val="00292DAC"/>
    <w:rsid w:val="00294BAB"/>
    <w:rsid w:val="002B2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51BB"/>
    <w:rsid w:val="00432D16"/>
    <w:rsid w:val="00433672"/>
    <w:rsid w:val="00441915"/>
    <w:rsid w:val="0045520A"/>
    <w:rsid w:val="00457E44"/>
    <w:rsid w:val="004677CD"/>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7618"/>
    <w:rsid w:val="004C7805"/>
    <w:rsid w:val="004D06B5"/>
    <w:rsid w:val="004D2A11"/>
    <w:rsid w:val="004D4F88"/>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E3600"/>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0C3B"/>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122D"/>
    <w:rsid w:val="00742C96"/>
    <w:rsid w:val="00742D80"/>
    <w:rsid w:val="00743931"/>
    <w:rsid w:val="00744B72"/>
    <w:rsid w:val="00752CA0"/>
    <w:rsid w:val="00754DC7"/>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2F46"/>
    <w:rsid w:val="00B46E18"/>
    <w:rsid w:val="00B50CA8"/>
    <w:rsid w:val="00B5103E"/>
    <w:rsid w:val="00B5789D"/>
    <w:rsid w:val="00B6416B"/>
    <w:rsid w:val="00B67882"/>
    <w:rsid w:val="00B712F3"/>
    <w:rsid w:val="00B72FD9"/>
    <w:rsid w:val="00B74C20"/>
    <w:rsid w:val="00B75933"/>
    <w:rsid w:val="00B8038B"/>
    <w:rsid w:val="00B84BBF"/>
    <w:rsid w:val="00B90C42"/>
    <w:rsid w:val="00B9289C"/>
    <w:rsid w:val="00B971A5"/>
    <w:rsid w:val="00BA257E"/>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5463E"/>
    <w:rsid w:val="00C5611F"/>
    <w:rsid w:val="00C60145"/>
    <w:rsid w:val="00C64D92"/>
    <w:rsid w:val="00C7264E"/>
    <w:rsid w:val="00C76FB9"/>
    <w:rsid w:val="00C8258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E2363"/>
    <w:rsid w:val="00CF49B2"/>
    <w:rsid w:val="00CF49C2"/>
    <w:rsid w:val="00CF55AE"/>
    <w:rsid w:val="00D02177"/>
    <w:rsid w:val="00D03C9F"/>
    <w:rsid w:val="00D044DE"/>
    <w:rsid w:val="00D04FD7"/>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87F7F"/>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4C63"/>
    <w:rsid w:val="00E05F3D"/>
    <w:rsid w:val="00E0756C"/>
    <w:rsid w:val="00E137B5"/>
    <w:rsid w:val="00E13FCE"/>
    <w:rsid w:val="00E17202"/>
    <w:rsid w:val="00E2056F"/>
    <w:rsid w:val="00E247FE"/>
    <w:rsid w:val="00E31682"/>
    <w:rsid w:val="00E47A50"/>
    <w:rsid w:val="00E5138B"/>
    <w:rsid w:val="00E52E68"/>
    <w:rsid w:val="00E558E8"/>
    <w:rsid w:val="00E575B6"/>
    <w:rsid w:val="00E6280C"/>
    <w:rsid w:val="00E6652D"/>
    <w:rsid w:val="00E71210"/>
    <w:rsid w:val="00E723FE"/>
    <w:rsid w:val="00E82AC9"/>
    <w:rsid w:val="00E83667"/>
    <w:rsid w:val="00E846A1"/>
    <w:rsid w:val="00EA1E3A"/>
    <w:rsid w:val="00EA5F35"/>
    <w:rsid w:val="00EA6209"/>
    <w:rsid w:val="00EA7A40"/>
    <w:rsid w:val="00EB210D"/>
    <w:rsid w:val="00EB31D1"/>
    <w:rsid w:val="00EB33C1"/>
    <w:rsid w:val="00EB6BF0"/>
    <w:rsid w:val="00EC49C1"/>
    <w:rsid w:val="00EC6F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124"/>
    <w:rsid w:val="00F6539B"/>
    <w:rsid w:val="00F73127"/>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32D16"/>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432D1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UnresolvedMention">
    <w:name w:val="Unresolved Mention"/>
    <w:basedOn w:val="DefaultParagraphFont"/>
    <w:uiPriority w:val="99"/>
    <w:semiHidden/>
    <w:unhideWhenUsed/>
    <w:rsid w:val="001D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4747463">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7467-2505-40D1-9404-061EC0B8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22103</Words>
  <Characters>12600</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20</cp:revision>
  <cp:lastPrinted>2022-09-28T06:30:00Z</cp:lastPrinted>
  <dcterms:created xsi:type="dcterms:W3CDTF">2022-09-20T12:20:00Z</dcterms:created>
  <dcterms:modified xsi:type="dcterms:W3CDTF">2022-09-28T07:26:00Z</dcterms:modified>
</cp:coreProperties>
</file>