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3B4A17C3" w:rsidR="00E75D9B" w:rsidRPr="00150241" w:rsidRDefault="006A16C7" w:rsidP="00E75D9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75D9B" w:rsidRPr="00150241">
        <w:rPr>
          <w:rFonts w:ascii="Times New Roman" w:eastAsia="Times New Roman" w:hAnsi="Times New Roman" w:cs="Times New Roman"/>
          <w:color w:val="000000"/>
          <w:sz w:val="24"/>
          <w:szCs w:val="24"/>
        </w:rPr>
        <w:t>202</w:t>
      </w:r>
      <w:r w:rsidR="00461B77">
        <w:rPr>
          <w:rFonts w:ascii="Times New Roman" w:eastAsia="Times New Roman" w:hAnsi="Times New Roman" w:cs="Times New Roman"/>
          <w:color w:val="000000"/>
          <w:sz w:val="24"/>
          <w:szCs w:val="24"/>
        </w:rPr>
        <w:t>2</w:t>
      </w:r>
      <w:r w:rsidR="00E75D9B" w:rsidRPr="00150241">
        <w:rPr>
          <w:rFonts w:ascii="Times New Roman" w:eastAsia="Times New Roman" w:hAnsi="Times New Roman" w:cs="Times New Roman"/>
          <w:color w:val="000000"/>
          <w:sz w:val="24"/>
          <w:szCs w:val="24"/>
        </w:rPr>
        <w:t>.gada</w:t>
      </w:r>
      <w:r w:rsidR="00836C96">
        <w:rPr>
          <w:rFonts w:ascii="Times New Roman" w:eastAsia="Times New Roman" w:hAnsi="Times New Roman" w:cs="Times New Roman"/>
          <w:color w:val="000000"/>
          <w:sz w:val="24"/>
          <w:szCs w:val="24"/>
        </w:rPr>
        <w:t xml:space="preserve"> </w:t>
      </w:r>
      <w:r w:rsidR="00924C2D">
        <w:rPr>
          <w:rFonts w:ascii="Times New Roman" w:eastAsia="Times New Roman" w:hAnsi="Times New Roman" w:cs="Times New Roman"/>
          <w:color w:val="000000"/>
          <w:sz w:val="24"/>
          <w:szCs w:val="24"/>
        </w:rPr>
        <w:t>29.novembra</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1F94057" w:rsidR="00E75D9B" w:rsidRPr="00150241" w:rsidRDefault="00E75D9B" w:rsidP="00E75D9B">
      <w:pPr>
        <w:pStyle w:val="BlockText"/>
        <w:ind w:left="142"/>
        <w:jc w:val="center"/>
        <w:rPr>
          <w:b/>
          <w:bCs/>
          <w:sz w:val="48"/>
          <w:szCs w:val="48"/>
        </w:rPr>
      </w:pPr>
      <w:r w:rsidRPr="00150241">
        <w:rPr>
          <w:b/>
          <w:sz w:val="48"/>
          <w:szCs w:val="48"/>
        </w:rPr>
        <w:t>“</w:t>
      </w:r>
      <w:r w:rsidR="00EC29A9" w:rsidRPr="00EC29A9">
        <w:rPr>
          <w:b/>
          <w:sz w:val="48"/>
          <w:szCs w:val="48"/>
        </w:rPr>
        <w:t>Atkritumu pieņemšana no ostā ienākošajiem prāmjiem pie piestātnes Nr.16, Nr.17, Nr.18</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75C7F3C2"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w:t>
      </w:r>
      <w:r w:rsidR="00461B77">
        <w:rPr>
          <w:rFonts w:ascii="Times New Roman" w:hAnsi="Times New Roman" w:cs="Times New Roman"/>
          <w:b/>
          <w:sz w:val="36"/>
          <w:szCs w:val="48"/>
        </w:rPr>
        <w:t>2</w:t>
      </w:r>
      <w:r w:rsidRPr="00150241">
        <w:rPr>
          <w:rFonts w:ascii="Times New Roman" w:hAnsi="Times New Roman" w:cs="Times New Roman"/>
          <w:b/>
          <w:sz w:val="36"/>
          <w:szCs w:val="48"/>
        </w:rPr>
        <w:t>/</w:t>
      </w:r>
      <w:r w:rsidR="003D1967">
        <w:rPr>
          <w:rFonts w:ascii="Times New Roman" w:hAnsi="Times New Roman" w:cs="Times New Roman"/>
          <w:b/>
          <w:sz w:val="36"/>
          <w:szCs w:val="48"/>
        </w:rPr>
        <w:t>1</w:t>
      </w:r>
      <w:r w:rsidR="00EC29A9">
        <w:rPr>
          <w:rFonts w:ascii="Times New Roman" w:hAnsi="Times New Roman" w:cs="Times New Roman"/>
          <w:b/>
          <w:sz w:val="36"/>
          <w:szCs w:val="48"/>
        </w:rPr>
        <w:t>21</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4CFE4ED9"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w:t>
      </w:r>
      <w:r w:rsidR="00461B77">
        <w:rPr>
          <w:rFonts w:ascii="Times New Roman" w:hAnsi="Times New Roman" w:cs="Times New Roman"/>
          <w:b/>
          <w:sz w:val="32"/>
          <w:szCs w:val="32"/>
        </w:rPr>
        <w:t>2</w:t>
      </w:r>
      <w:r w:rsidRPr="00150241">
        <w:rPr>
          <w:rFonts w:ascii="Times New Roman" w:hAnsi="Times New Roman" w:cs="Times New Roman"/>
          <w:b/>
          <w:sz w:val="32"/>
          <w:szCs w:val="32"/>
        </w:rPr>
        <w:t>.gads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1BD7E01D" w14:textId="0F2B5945" w:rsidR="008B35E1"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120278184" w:history="1">
        <w:r w:rsidR="008B35E1" w:rsidRPr="00110D35">
          <w:rPr>
            <w:rStyle w:val="Hyperlink"/>
            <w:noProof/>
          </w:rPr>
          <w:t>1.</w:t>
        </w:r>
        <w:r w:rsidR="008B35E1">
          <w:rPr>
            <w:rFonts w:asciiTheme="minorHAnsi" w:eastAsiaTheme="minorEastAsia" w:hAnsiTheme="minorHAnsi" w:cstheme="minorBidi"/>
            <w:noProof/>
            <w:sz w:val="22"/>
            <w:szCs w:val="22"/>
          </w:rPr>
          <w:tab/>
        </w:r>
        <w:r w:rsidR="008B35E1" w:rsidRPr="00110D35">
          <w:rPr>
            <w:rStyle w:val="Hyperlink"/>
            <w:noProof/>
          </w:rPr>
          <w:t>VISPĀRĪGA INFORMĀCIJA</w:t>
        </w:r>
        <w:r w:rsidR="008B35E1">
          <w:rPr>
            <w:noProof/>
            <w:webHidden/>
          </w:rPr>
          <w:tab/>
        </w:r>
        <w:r w:rsidR="008B35E1">
          <w:rPr>
            <w:noProof/>
            <w:webHidden/>
          </w:rPr>
          <w:fldChar w:fldCharType="begin"/>
        </w:r>
        <w:r w:rsidR="008B35E1">
          <w:rPr>
            <w:noProof/>
            <w:webHidden/>
          </w:rPr>
          <w:instrText xml:space="preserve"> PAGEREF _Toc120278184 \h </w:instrText>
        </w:r>
        <w:r w:rsidR="008B35E1">
          <w:rPr>
            <w:noProof/>
            <w:webHidden/>
          </w:rPr>
        </w:r>
        <w:r w:rsidR="008B35E1">
          <w:rPr>
            <w:noProof/>
            <w:webHidden/>
          </w:rPr>
          <w:fldChar w:fldCharType="separate"/>
        </w:r>
        <w:r w:rsidR="008B35E1">
          <w:rPr>
            <w:noProof/>
            <w:webHidden/>
          </w:rPr>
          <w:t>3</w:t>
        </w:r>
        <w:r w:rsidR="008B35E1">
          <w:rPr>
            <w:noProof/>
            <w:webHidden/>
          </w:rPr>
          <w:fldChar w:fldCharType="end"/>
        </w:r>
      </w:hyperlink>
    </w:p>
    <w:p w14:paraId="43BD80D7" w14:textId="1AB459D6" w:rsidR="008B35E1" w:rsidRDefault="003804C3">
      <w:pPr>
        <w:pStyle w:val="TOC1"/>
        <w:rPr>
          <w:rFonts w:asciiTheme="minorHAnsi" w:eastAsiaTheme="minorEastAsia" w:hAnsiTheme="minorHAnsi" w:cstheme="minorBidi"/>
          <w:noProof/>
          <w:sz w:val="22"/>
          <w:szCs w:val="22"/>
        </w:rPr>
      </w:pPr>
      <w:hyperlink w:anchor="_Toc120278185" w:history="1">
        <w:r w:rsidR="008B35E1" w:rsidRPr="00110D35">
          <w:rPr>
            <w:rStyle w:val="Hyperlink"/>
            <w:bCs/>
            <w:noProof/>
          </w:rPr>
          <w:t>2.</w:t>
        </w:r>
        <w:r w:rsidR="008B35E1">
          <w:rPr>
            <w:rFonts w:asciiTheme="minorHAnsi" w:eastAsiaTheme="minorEastAsia" w:hAnsiTheme="minorHAnsi" w:cstheme="minorBidi"/>
            <w:noProof/>
            <w:sz w:val="22"/>
            <w:szCs w:val="22"/>
          </w:rPr>
          <w:tab/>
        </w:r>
        <w:r w:rsidR="008B35E1" w:rsidRPr="00110D35">
          <w:rPr>
            <w:rStyle w:val="Hyperlink"/>
            <w:noProof/>
          </w:rPr>
          <w:t>INFORMĀCIJA PAR IEPIRKUMA PRIEKŠMETU</w:t>
        </w:r>
        <w:r w:rsidR="008B35E1">
          <w:rPr>
            <w:noProof/>
            <w:webHidden/>
          </w:rPr>
          <w:tab/>
        </w:r>
        <w:r w:rsidR="008B35E1">
          <w:rPr>
            <w:noProof/>
            <w:webHidden/>
          </w:rPr>
          <w:fldChar w:fldCharType="begin"/>
        </w:r>
        <w:r w:rsidR="008B35E1">
          <w:rPr>
            <w:noProof/>
            <w:webHidden/>
          </w:rPr>
          <w:instrText xml:space="preserve"> PAGEREF _Toc120278185 \h </w:instrText>
        </w:r>
        <w:r w:rsidR="008B35E1">
          <w:rPr>
            <w:noProof/>
            <w:webHidden/>
          </w:rPr>
        </w:r>
        <w:r w:rsidR="008B35E1">
          <w:rPr>
            <w:noProof/>
            <w:webHidden/>
          </w:rPr>
          <w:fldChar w:fldCharType="separate"/>
        </w:r>
        <w:r w:rsidR="008B35E1">
          <w:rPr>
            <w:noProof/>
            <w:webHidden/>
          </w:rPr>
          <w:t>3</w:t>
        </w:r>
        <w:r w:rsidR="008B35E1">
          <w:rPr>
            <w:noProof/>
            <w:webHidden/>
          </w:rPr>
          <w:fldChar w:fldCharType="end"/>
        </w:r>
      </w:hyperlink>
    </w:p>
    <w:p w14:paraId="58049CCF" w14:textId="51B49EDD" w:rsidR="008B35E1" w:rsidRDefault="003804C3">
      <w:pPr>
        <w:pStyle w:val="TOC1"/>
        <w:rPr>
          <w:rFonts w:asciiTheme="minorHAnsi" w:eastAsiaTheme="minorEastAsia" w:hAnsiTheme="minorHAnsi" w:cstheme="minorBidi"/>
          <w:noProof/>
          <w:sz w:val="22"/>
          <w:szCs w:val="22"/>
        </w:rPr>
      </w:pPr>
      <w:hyperlink w:anchor="_Toc120278186" w:history="1">
        <w:r w:rsidR="008B35E1" w:rsidRPr="00110D35">
          <w:rPr>
            <w:rStyle w:val="Hyperlink"/>
            <w:noProof/>
          </w:rPr>
          <w:t>3.</w:t>
        </w:r>
        <w:r w:rsidR="008B35E1">
          <w:rPr>
            <w:rFonts w:asciiTheme="minorHAnsi" w:eastAsiaTheme="minorEastAsia" w:hAnsiTheme="minorHAnsi" w:cstheme="minorBidi"/>
            <w:noProof/>
            <w:sz w:val="22"/>
            <w:szCs w:val="22"/>
          </w:rPr>
          <w:tab/>
        </w:r>
        <w:r w:rsidR="008B35E1" w:rsidRPr="00110D35">
          <w:rPr>
            <w:rStyle w:val="Hyperlink"/>
            <w:noProof/>
          </w:rPr>
          <w:t>IEPIRKUMA PROCEDŪRAS DOKUMENTI</w:t>
        </w:r>
        <w:r w:rsidR="008B35E1">
          <w:rPr>
            <w:noProof/>
            <w:webHidden/>
          </w:rPr>
          <w:tab/>
        </w:r>
        <w:r w:rsidR="008B35E1">
          <w:rPr>
            <w:noProof/>
            <w:webHidden/>
          </w:rPr>
          <w:fldChar w:fldCharType="begin"/>
        </w:r>
        <w:r w:rsidR="008B35E1">
          <w:rPr>
            <w:noProof/>
            <w:webHidden/>
          </w:rPr>
          <w:instrText xml:space="preserve"> PAGEREF _Toc120278186 \h </w:instrText>
        </w:r>
        <w:r w:rsidR="008B35E1">
          <w:rPr>
            <w:noProof/>
            <w:webHidden/>
          </w:rPr>
        </w:r>
        <w:r w:rsidR="008B35E1">
          <w:rPr>
            <w:noProof/>
            <w:webHidden/>
          </w:rPr>
          <w:fldChar w:fldCharType="separate"/>
        </w:r>
        <w:r w:rsidR="008B35E1">
          <w:rPr>
            <w:noProof/>
            <w:webHidden/>
          </w:rPr>
          <w:t>4</w:t>
        </w:r>
        <w:r w:rsidR="008B35E1">
          <w:rPr>
            <w:noProof/>
            <w:webHidden/>
          </w:rPr>
          <w:fldChar w:fldCharType="end"/>
        </w:r>
      </w:hyperlink>
    </w:p>
    <w:p w14:paraId="44008FD5" w14:textId="63EAE30B" w:rsidR="008B35E1" w:rsidRDefault="003804C3">
      <w:pPr>
        <w:pStyle w:val="TOC1"/>
        <w:rPr>
          <w:rFonts w:asciiTheme="minorHAnsi" w:eastAsiaTheme="minorEastAsia" w:hAnsiTheme="minorHAnsi" w:cstheme="minorBidi"/>
          <w:noProof/>
          <w:sz w:val="22"/>
          <w:szCs w:val="22"/>
        </w:rPr>
      </w:pPr>
      <w:hyperlink w:anchor="_Toc120278187" w:history="1">
        <w:r w:rsidR="008B35E1" w:rsidRPr="00110D35">
          <w:rPr>
            <w:rStyle w:val="Hyperlink"/>
            <w:noProof/>
          </w:rPr>
          <w:t>4.</w:t>
        </w:r>
        <w:r w:rsidR="008B35E1">
          <w:rPr>
            <w:rFonts w:asciiTheme="minorHAnsi" w:eastAsiaTheme="minorEastAsia" w:hAnsiTheme="minorHAnsi" w:cstheme="minorBidi"/>
            <w:noProof/>
            <w:sz w:val="22"/>
            <w:szCs w:val="22"/>
          </w:rPr>
          <w:tab/>
        </w:r>
        <w:r w:rsidR="008B35E1" w:rsidRPr="00110D35">
          <w:rPr>
            <w:rStyle w:val="Hyperlink"/>
            <w:noProof/>
          </w:rPr>
          <w:t>DALĪBAS NOSACĪJUMI IEPIRKUMA PROCEDŪRĀ</w:t>
        </w:r>
        <w:r w:rsidR="008B35E1">
          <w:rPr>
            <w:noProof/>
            <w:webHidden/>
          </w:rPr>
          <w:tab/>
        </w:r>
        <w:r w:rsidR="008B35E1">
          <w:rPr>
            <w:noProof/>
            <w:webHidden/>
          </w:rPr>
          <w:fldChar w:fldCharType="begin"/>
        </w:r>
        <w:r w:rsidR="008B35E1">
          <w:rPr>
            <w:noProof/>
            <w:webHidden/>
          </w:rPr>
          <w:instrText xml:space="preserve"> PAGEREF _Toc120278187 \h </w:instrText>
        </w:r>
        <w:r w:rsidR="008B35E1">
          <w:rPr>
            <w:noProof/>
            <w:webHidden/>
          </w:rPr>
        </w:r>
        <w:r w:rsidR="008B35E1">
          <w:rPr>
            <w:noProof/>
            <w:webHidden/>
          </w:rPr>
          <w:fldChar w:fldCharType="separate"/>
        </w:r>
        <w:r w:rsidR="008B35E1">
          <w:rPr>
            <w:noProof/>
            <w:webHidden/>
          </w:rPr>
          <w:t>5</w:t>
        </w:r>
        <w:r w:rsidR="008B35E1">
          <w:rPr>
            <w:noProof/>
            <w:webHidden/>
          </w:rPr>
          <w:fldChar w:fldCharType="end"/>
        </w:r>
      </w:hyperlink>
    </w:p>
    <w:p w14:paraId="649AC807" w14:textId="76E9EF01" w:rsidR="008B35E1" w:rsidRDefault="003804C3">
      <w:pPr>
        <w:pStyle w:val="TOC1"/>
        <w:rPr>
          <w:rFonts w:asciiTheme="minorHAnsi" w:eastAsiaTheme="minorEastAsia" w:hAnsiTheme="minorHAnsi" w:cstheme="minorBidi"/>
          <w:noProof/>
          <w:sz w:val="22"/>
          <w:szCs w:val="22"/>
        </w:rPr>
      </w:pPr>
      <w:hyperlink w:anchor="_Toc120278188" w:history="1">
        <w:r w:rsidR="008B35E1" w:rsidRPr="00110D35">
          <w:rPr>
            <w:rStyle w:val="Hyperlink"/>
            <w:noProof/>
          </w:rPr>
          <w:t>5.</w:t>
        </w:r>
        <w:r w:rsidR="008B35E1">
          <w:rPr>
            <w:rFonts w:asciiTheme="minorHAnsi" w:eastAsiaTheme="minorEastAsia" w:hAnsiTheme="minorHAnsi" w:cstheme="minorBidi"/>
            <w:noProof/>
            <w:sz w:val="22"/>
            <w:szCs w:val="22"/>
          </w:rPr>
          <w:tab/>
        </w:r>
        <w:r w:rsidR="008B35E1" w:rsidRPr="00110D35">
          <w:rPr>
            <w:rStyle w:val="Hyperlink"/>
            <w:noProof/>
          </w:rPr>
          <w:t>IESNIEDZAMIE DOKUMENTI:</w:t>
        </w:r>
        <w:r w:rsidR="008B35E1">
          <w:rPr>
            <w:noProof/>
            <w:webHidden/>
          </w:rPr>
          <w:tab/>
        </w:r>
        <w:r w:rsidR="008B35E1">
          <w:rPr>
            <w:noProof/>
            <w:webHidden/>
          </w:rPr>
          <w:fldChar w:fldCharType="begin"/>
        </w:r>
        <w:r w:rsidR="008B35E1">
          <w:rPr>
            <w:noProof/>
            <w:webHidden/>
          </w:rPr>
          <w:instrText xml:space="preserve"> PAGEREF _Toc120278188 \h </w:instrText>
        </w:r>
        <w:r w:rsidR="008B35E1">
          <w:rPr>
            <w:noProof/>
            <w:webHidden/>
          </w:rPr>
        </w:r>
        <w:r w:rsidR="008B35E1">
          <w:rPr>
            <w:noProof/>
            <w:webHidden/>
          </w:rPr>
          <w:fldChar w:fldCharType="separate"/>
        </w:r>
        <w:r w:rsidR="008B35E1">
          <w:rPr>
            <w:noProof/>
            <w:webHidden/>
          </w:rPr>
          <w:t>5</w:t>
        </w:r>
        <w:r w:rsidR="008B35E1">
          <w:rPr>
            <w:noProof/>
            <w:webHidden/>
          </w:rPr>
          <w:fldChar w:fldCharType="end"/>
        </w:r>
      </w:hyperlink>
    </w:p>
    <w:p w14:paraId="20F892BB" w14:textId="0A1A3E17" w:rsidR="008B35E1" w:rsidRDefault="003804C3">
      <w:pPr>
        <w:pStyle w:val="TOC1"/>
        <w:rPr>
          <w:rFonts w:asciiTheme="minorHAnsi" w:eastAsiaTheme="minorEastAsia" w:hAnsiTheme="minorHAnsi" w:cstheme="minorBidi"/>
          <w:noProof/>
          <w:sz w:val="22"/>
          <w:szCs w:val="22"/>
        </w:rPr>
      </w:pPr>
      <w:hyperlink w:anchor="_Toc120278189" w:history="1">
        <w:r w:rsidR="008B35E1" w:rsidRPr="00110D35">
          <w:rPr>
            <w:rStyle w:val="Hyperlink"/>
            <w:noProof/>
          </w:rPr>
          <w:t>6.</w:t>
        </w:r>
        <w:r w:rsidR="008B35E1">
          <w:rPr>
            <w:rFonts w:asciiTheme="minorHAnsi" w:eastAsiaTheme="minorEastAsia" w:hAnsiTheme="minorHAnsi" w:cstheme="minorBidi"/>
            <w:noProof/>
            <w:sz w:val="22"/>
            <w:szCs w:val="22"/>
          </w:rPr>
          <w:tab/>
        </w:r>
        <w:r w:rsidR="008B35E1" w:rsidRPr="00110D35">
          <w:rPr>
            <w:rStyle w:val="Hyperlink"/>
            <w:noProof/>
          </w:rPr>
          <w:t>PRETENDENTU KVALIFIKĀCIJAS PRASĪBAS / DALĪBAS NOSACĪJUMI UN ATLASES DOKUMENTI</w:t>
        </w:r>
        <w:r w:rsidR="008B35E1">
          <w:rPr>
            <w:noProof/>
            <w:webHidden/>
          </w:rPr>
          <w:tab/>
        </w:r>
        <w:r w:rsidR="008B35E1">
          <w:rPr>
            <w:noProof/>
            <w:webHidden/>
          </w:rPr>
          <w:fldChar w:fldCharType="begin"/>
        </w:r>
        <w:r w:rsidR="008B35E1">
          <w:rPr>
            <w:noProof/>
            <w:webHidden/>
          </w:rPr>
          <w:instrText xml:space="preserve"> PAGEREF _Toc120278189 \h </w:instrText>
        </w:r>
        <w:r w:rsidR="008B35E1">
          <w:rPr>
            <w:noProof/>
            <w:webHidden/>
          </w:rPr>
        </w:r>
        <w:r w:rsidR="008B35E1">
          <w:rPr>
            <w:noProof/>
            <w:webHidden/>
          </w:rPr>
          <w:fldChar w:fldCharType="separate"/>
        </w:r>
        <w:r w:rsidR="008B35E1">
          <w:rPr>
            <w:noProof/>
            <w:webHidden/>
          </w:rPr>
          <w:t>6</w:t>
        </w:r>
        <w:r w:rsidR="008B35E1">
          <w:rPr>
            <w:noProof/>
            <w:webHidden/>
          </w:rPr>
          <w:fldChar w:fldCharType="end"/>
        </w:r>
      </w:hyperlink>
    </w:p>
    <w:p w14:paraId="7B21CFC5" w14:textId="39288295" w:rsidR="008B35E1" w:rsidRDefault="003804C3">
      <w:pPr>
        <w:pStyle w:val="TOC1"/>
        <w:rPr>
          <w:rFonts w:asciiTheme="minorHAnsi" w:eastAsiaTheme="minorEastAsia" w:hAnsiTheme="minorHAnsi" w:cstheme="minorBidi"/>
          <w:noProof/>
          <w:sz w:val="22"/>
          <w:szCs w:val="22"/>
        </w:rPr>
      </w:pPr>
      <w:hyperlink w:anchor="_Toc120278190" w:history="1">
        <w:r w:rsidR="008B35E1" w:rsidRPr="00110D35">
          <w:rPr>
            <w:rStyle w:val="Hyperlink"/>
            <w:noProof/>
          </w:rPr>
          <w:t>7.</w:t>
        </w:r>
        <w:r w:rsidR="008B35E1">
          <w:rPr>
            <w:rFonts w:asciiTheme="minorHAnsi" w:eastAsiaTheme="minorEastAsia" w:hAnsiTheme="minorHAnsi" w:cstheme="minorBidi"/>
            <w:noProof/>
            <w:sz w:val="22"/>
            <w:szCs w:val="22"/>
          </w:rPr>
          <w:tab/>
        </w:r>
        <w:r w:rsidR="008B35E1" w:rsidRPr="00110D35">
          <w:rPr>
            <w:rStyle w:val="Hyperlink"/>
            <w:noProof/>
          </w:rPr>
          <w:t>TEHNISKAIS PIEDĀVĀJUMS UN FINANŠU PIEDĀVĀJUMS</w:t>
        </w:r>
        <w:r w:rsidR="008B35E1">
          <w:rPr>
            <w:noProof/>
            <w:webHidden/>
          </w:rPr>
          <w:tab/>
        </w:r>
        <w:r w:rsidR="008B35E1">
          <w:rPr>
            <w:noProof/>
            <w:webHidden/>
          </w:rPr>
          <w:fldChar w:fldCharType="begin"/>
        </w:r>
        <w:r w:rsidR="008B35E1">
          <w:rPr>
            <w:noProof/>
            <w:webHidden/>
          </w:rPr>
          <w:instrText xml:space="preserve"> PAGEREF _Toc120278190 \h </w:instrText>
        </w:r>
        <w:r w:rsidR="008B35E1">
          <w:rPr>
            <w:noProof/>
            <w:webHidden/>
          </w:rPr>
        </w:r>
        <w:r w:rsidR="008B35E1">
          <w:rPr>
            <w:noProof/>
            <w:webHidden/>
          </w:rPr>
          <w:fldChar w:fldCharType="separate"/>
        </w:r>
        <w:r w:rsidR="008B35E1">
          <w:rPr>
            <w:noProof/>
            <w:webHidden/>
          </w:rPr>
          <w:t>8</w:t>
        </w:r>
        <w:r w:rsidR="008B35E1">
          <w:rPr>
            <w:noProof/>
            <w:webHidden/>
          </w:rPr>
          <w:fldChar w:fldCharType="end"/>
        </w:r>
      </w:hyperlink>
    </w:p>
    <w:p w14:paraId="5B2CAF7A" w14:textId="0D651DE4" w:rsidR="008B35E1" w:rsidRDefault="003804C3">
      <w:pPr>
        <w:pStyle w:val="TOC1"/>
        <w:rPr>
          <w:rFonts w:asciiTheme="minorHAnsi" w:eastAsiaTheme="minorEastAsia" w:hAnsiTheme="minorHAnsi" w:cstheme="minorBidi"/>
          <w:noProof/>
          <w:sz w:val="22"/>
          <w:szCs w:val="22"/>
        </w:rPr>
      </w:pPr>
      <w:hyperlink w:anchor="_Toc120278191" w:history="1">
        <w:r w:rsidR="008B35E1" w:rsidRPr="00110D35">
          <w:rPr>
            <w:rStyle w:val="Hyperlink"/>
            <w:noProof/>
          </w:rPr>
          <w:t>8.</w:t>
        </w:r>
        <w:r w:rsidR="008B35E1">
          <w:rPr>
            <w:rFonts w:asciiTheme="minorHAnsi" w:eastAsiaTheme="minorEastAsia" w:hAnsiTheme="minorHAnsi" w:cstheme="minorBidi"/>
            <w:noProof/>
            <w:sz w:val="22"/>
            <w:szCs w:val="22"/>
          </w:rPr>
          <w:tab/>
        </w:r>
        <w:r w:rsidR="008B35E1" w:rsidRPr="00110D35">
          <w:rPr>
            <w:rStyle w:val="Hyperlink"/>
            <w:noProof/>
          </w:rPr>
          <w:t>PIEDĀVĀJUMA SAGATAVOŠANA UN NOFORMĒŠANA</w:t>
        </w:r>
        <w:r w:rsidR="008B35E1">
          <w:rPr>
            <w:noProof/>
            <w:webHidden/>
          </w:rPr>
          <w:tab/>
        </w:r>
        <w:r w:rsidR="008B35E1">
          <w:rPr>
            <w:noProof/>
            <w:webHidden/>
          </w:rPr>
          <w:fldChar w:fldCharType="begin"/>
        </w:r>
        <w:r w:rsidR="008B35E1">
          <w:rPr>
            <w:noProof/>
            <w:webHidden/>
          </w:rPr>
          <w:instrText xml:space="preserve"> PAGEREF _Toc120278191 \h </w:instrText>
        </w:r>
        <w:r w:rsidR="008B35E1">
          <w:rPr>
            <w:noProof/>
            <w:webHidden/>
          </w:rPr>
        </w:r>
        <w:r w:rsidR="008B35E1">
          <w:rPr>
            <w:noProof/>
            <w:webHidden/>
          </w:rPr>
          <w:fldChar w:fldCharType="separate"/>
        </w:r>
        <w:r w:rsidR="008B35E1">
          <w:rPr>
            <w:noProof/>
            <w:webHidden/>
          </w:rPr>
          <w:t>8</w:t>
        </w:r>
        <w:r w:rsidR="008B35E1">
          <w:rPr>
            <w:noProof/>
            <w:webHidden/>
          </w:rPr>
          <w:fldChar w:fldCharType="end"/>
        </w:r>
      </w:hyperlink>
    </w:p>
    <w:p w14:paraId="5C54BF59" w14:textId="07E01EB4" w:rsidR="008B35E1" w:rsidRDefault="003804C3">
      <w:pPr>
        <w:pStyle w:val="TOC1"/>
        <w:rPr>
          <w:rFonts w:asciiTheme="minorHAnsi" w:eastAsiaTheme="minorEastAsia" w:hAnsiTheme="minorHAnsi" w:cstheme="minorBidi"/>
          <w:noProof/>
          <w:sz w:val="22"/>
          <w:szCs w:val="22"/>
        </w:rPr>
      </w:pPr>
      <w:hyperlink w:anchor="_Toc120278192" w:history="1">
        <w:r w:rsidR="008B35E1" w:rsidRPr="00110D35">
          <w:rPr>
            <w:rStyle w:val="Hyperlink"/>
            <w:noProof/>
          </w:rPr>
          <w:t>9.</w:t>
        </w:r>
        <w:r w:rsidR="008B35E1">
          <w:rPr>
            <w:rFonts w:asciiTheme="minorHAnsi" w:eastAsiaTheme="minorEastAsia" w:hAnsiTheme="minorHAnsi" w:cstheme="minorBidi"/>
            <w:noProof/>
            <w:sz w:val="22"/>
            <w:szCs w:val="22"/>
          </w:rPr>
          <w:tab/>
        </w:r>
        <w:r w:rsidR="008B35E1" w:rsidRPr="00110D35">
          <w:rPr>
            <w:rStyle w:val="Hyperlink"/>
            <w:noProof/>
          </w:rPr>
          <w:t>PIEDĀVĀJUMA IESNIEGŠANA UN ATVĒRŠANA</w:t>
        </w:r>
        <w:r w:rsidR="008B35E1">
          <w:rPr>
            <w:noProof/>
            <w:webHidden/>
          </w:rPr>
          <w:tab/>
        </w:r>
        <w:r w:rsidR="008B35E1">
          <w:rPr>
            <w:noProof/>
            <w:webHidden/>
          </w:rPr>
          <w:fldChar w:fldCharType="begin"/>
        </w:r>
        <w:r w:rsidR="008B35E1">
          <w:rPr>
            <w:noProof/>
            <w:webHidden/>
          </w:rPr>
          <w:instrText xml:space="preserve"> PAGEREF _Toc120278192 \h </w:instrText>
        </w:r>
        <w:r w:rsidR="008B35E1">
          <w:rPr>
            <w:noProof/>
            <w:webHidden/>
          </w:rPr>
        </w:r>
        <w:r w:rsidR="008B35E1">
          <w:rPr>
            <w:noProof/>
            <w:webHidden/>
          </w:rPr>
          <w:fldChar w:fldCharType="separate"/>
        </w:r>
        <w:r w:rsidR="008B35E1">
          <w:rPr>
            <w:noProof/>
            <w:webHidden/>
          </w:rPr>
          <w:t>10</w:t>
        </w:r>
        <w:r w:rsidR="008B35E1">
          <w:rPr>
            <w:noProof/>
            <w:webHidden/>
          </w:rPr>
          <w:fldChar w:fldCharType="end"/>
        </w:r>
      </w:hyperlink>
    </w:p>
    <w:p w14:paraId="3A3DA5FB" w14:textId="2CE3BAFC" w:rsidR="008B35E1" w:rsidRDefault="003804C3">
      <w:pPr>
        <w:pStyle w:val="TOC1"/>
        <w:rPr>
          <w:rFonts w:asciiTheme="minorHAnsi" w:eastAsiaTheme="minorEastAsia" w:hAnsiTheme="minorHAnsi" w:cstheme="minorBidi"/>
          <w:noProof/>
          <w:sz w:val="22"/>
          <w:szCs w:val="22"/>
        </w:rPr>
      </w:pPr>
      <w:hyperlink w:anchor="_Toc120278193" w:history="1">
        <w:r w:rsidR="008B35E1" w:rsidRPr="00110D35">
          <w:rPr>
            <w:rStyle w:val="Hyperlink"/>
            <w:noProof/>
          </w:rPr>
          <w:t>10.</w:t>
        </w:r>
        <w:r w:rsidR="008B35E1">
          <w:rPr>
            <w:rFonts w:asciiTheme="minorHAnsi" w:eastAsiaTheme="minorEastAsia" w:hAnsiTheme="minorHAnsi" w:cstheme="minorBidi"/>
            <w:noProof/>
            <w:sz w:val="22"/>
            <w:szCs w:val="22"/>
          </w:rPr>
          <w:tab/>
        </w:r>
        <w:r w:rsidR="008B35E1" w:rsidRPr="00110D35">
          <w:rPr>
            <w:rStyle w:val="Hyperlink"/>
            <w:noProof/>
          </w:rPr>
          <w:t>CITI NOTEIKUMI</w:t>
        </w:r>
        <w:r w:rsidR="008B35E1">
          <w:rPr>
            <w:noProof/>
            <w:webHidden/>
          </w:rPr>
          <w:tab/>
        </w:r>
        <w:r w:rsidR="008B35E1">
          <w:rPr>
            <w:noProof/>
            <w:webHidden/>
          </w:rPr>
          <w:fldChar w:fldCharType="begin"/>
        </w:r>
        <w:r w:rsidR="008B35E1">
          <w:rPr>
            <w:noProof/>
            <w:webHidden/>
          </w:rPr>
          <w:instrText xml:space="preserve"> PAGEREF _Toc120278193 \h </w:instrText>
        </w:r>
        <w:r w:rsidR="008B35E1">
          <w:rPr>
            <w:noProof/>
            <w:webHidden/>
          </w:rPr>
        </w:r>
        <w:r w:rsidR="008B35E1">
          <w:rPr>
            <w:noProof/>
            <w:webHidden/>
          </w:rPr>
          <w:fldChar w:fldCharType="separate"/>
        </w:r>
        <w:r w:rsidR="008B35E1">
          <w:rPr>
            <w:noProof/>
            <w:webHidden/>
          </w:rPr>
          <w:t>11</w:t>
        </w:r>
        <w:r w:rsidR="008B35E1">
          <w:rPr>
            <w:noProof/>
            <w:webHidden/>
          </w:rPr>
          <w:fldChar w:fldCharType="end"/>
        </w:r>
      </w:hyperlink>
    </w:p>
    <w:p w14:paraId="6A155031" w14:textId="5D480289" w:rsidR="008B35E1" w:rsidRDefault="003804C3">
      <w:pPr>
        <w:pStyle w:val="TOC1"/>
        <w:rPr>
          <w:rFonts w:asciiTheme="minorHAnsi" w:eastAsiaTheme="minorEastAsia" w:hAnsiTheme="minorHAnsi" w:cstheme="minorBidi"/>
          <w:noProof/>
          <w:sz w:val="22"/>
          <w:szCs w:val="22"/>
        </w:rPr>
      </w:pPr>
      <w:hyperlink w:anchor="_Toc120278194" w:history="1">
        <w:r w:rsidR="008B35E1" w:rsidRPr="00110D35">
          <w:rPr>
            <w:rStyle w:val="Hyperlink"/>
            <w:noProof/>
          </w:rPr>
          <w:t>11.</w:t>
        </w:r>
        <w:r w:rsidR="008B35E1">
          <w:rPr>
            <w:rFonts w:asciiTheme="minorHAnsi" w:eastAsiaTheme="minorEastAsia" w:hAnsiTheme="minorHAnsi" w:cstheme="minorBidi"/>
            <w:noProof/>
            <w:sz w:val="22"/>
            <w:szCs w:val="22"/>
          </w:rPr>
          <w:tab/>
        </w:r>
        <w:r w:rsidR="008B35E1" w:rsidRPr="00110D35">
          <w:rPr>
            <w:rStyle w:val="Hyperlink"/>
            <w:noProof/>
          </w:rPr>
          <w:t>IEPIRKUMA LĪGUMA SLĒGŠANA</w:t>
        </w:r>
        <w:r w:rsidR="008B35E1">
          <w:rPr>
            <w:noProof/>
            <w:webHidden/>
          </w:rPr>
          <w:tab/>
        </w:r>
        <w:r w:rsidR="008B35E1">
          <w:rPr>
            <w:noProof/>
            <w:webHidden/>
          </w:rPr>
          <w:fldChar w:fldCharType="begin"/>
        </w:r>
        <w:r w:rsidR="008B35E1">
          <w:rPr>
            <w:noProof/>
            <w:webHidden/>
          </w:rPr>
          <w:instrText xml:space="preserve"> PAGEREF _Toc120278194 \h </w:instrText>
        </w:r>
        <w:r w:rsidR="008B35E1">
          <w:rPr>
            <w:noProof/>
            <w:webHidden/>
          </w:rPr>
        </w:r>
        <w:r w:rsidR="008B35E1">
          <w:rPr>
            <w:noProof/>
            <w:webHidden/>
          </w:rPr>
          <w:fldChar w:fldCharType="separate"/>
        </w:r>
        <w:r w:rsidR="008B35E1">
          <w:rPr>
            <w:noProof/>
            <w:webHidden/>
          </w:rPr>
          <w:t>13</w:t>
        </w:r>
        <w:r w:rsidR="008B35E1">
          <w:rPr>
            <w:noProof/>
            <w:webHidden/>
          </w:rPr>
          <w:fldChar w:fldCharType="end"/>
        </w:r>
      </w:hyperlink>
    </w:p>
    <w:p w14:paraId="7398D2B5" w14:textId="4EB268FA"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CD5925">
      <w:pPr>
        <w:pStyle w:val="Heading1"/>
        <w:numPr>
          <w:ilvl w:val="0"/>
          <w:numId w:val="1"/>
        </w:numPr>
      </w:pPr>
      <w:bookmarkStart w:id="0" w:name="_Toc120278184"/>
      <w:r w:rsidRPr="00150241">
        <w:t>VISPĀRĪGA INFORMĀCIJA</w:t>
      </w:r>
      <w:bookmarkEnd w:id="0"/>
    </w:p>
    <w:p w14:paraId="24684654" w14:textId="5C74F977"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w:t>
      </w:r>
      <w:r w:rsidR="00461B77">
        <w:rPr>
          <w:rFonts w:ascii="Times New Roman" w:hAnsi="Times New Roman" w:cs="Times New Roman"/>
          <w:sz w:val="24"/>
          <w:szCs w:val="24"/>
        </w:rPr>
        <w:t>2</w:t>
      </w:r>
      <w:r w:rsidRPr="00150241">
        <w:rPr>
          <w:rFonts w:ascii="Times New Roman" w:hAnsi="Times New Roman" w:cs="Times New Roman"/>
          <w:sz w:val="24"/>
          <w:szCs w:val="24"/>
        </w:rPr>
        <w:t>/</w:t>
      </w:r>
      <w:r w:rsidR="003D1967">
        <w:rPr>
          <w:rFonts w:ascii="Times New Roman" w:hAnsi="Times New Roman" w:cs="Times New Roman"/>
          <w:sz w:val="24"/>
          <w:szCs w:val="24"/>
        </w:rPr>
        <w:t>1</w:t>
      </w:r>
      <w:r w:rsidR="00EC29A9">
        <w:rPr>
          <w:rFonts w:ascii="Times New Roman" w:hAnsi="Times New Roman" w:cs="Times New Roman"/>
          <w:sz w:val="24"/>
          <w:szCs w:val="24"/>
        </w:rPr>
        <w:t>21</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3804C3"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E75D9B" w:rsidRPr="00150241" w14:paraId="1B317C19" w14:textId="77777777" w:rsidTr="00822881">
        <w:tc>
          <w:tcPr>
            <w:tcW w:w="3260" w:type="dxa"/>
            <w:vAlign w:val="center"/>
          </w:tcPr>
          <w:p w14:paraId="7D979867"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1D96A0AD" w:rsidR="00E75D9B" w:rsidRPr="00150241" w:rsidRDefault="006A2610" w:rsidP="002E64E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hAnsi="Times New Roman" w:cs="Times New Roman"/>
                <w:sz w:val="24"/>
                <w:szCs w:val="24"/>
              </w:rPr>
              <w:t>Daiga Mažrima</w:t>
            </w:r>
            <w:r w:rsidR="002E64EF" w:rsidRPr="0030238A">
              <w:rPr>
                <w:rFonts w:ascii="Times New Roman" w:hAnsi="Times New Roman" w:cs="Times New Roman"/>
                <w:sz w:val="24"/>
                <w:szCs w:val="24"/>
              </w:rPr>
              <w:t xml:space="preserve">, t. </w:t>
            </w:r>
            <w:r w:rsidR="0030238A" w:rsidRPr="0030238A">
              <w:rPr>
                <w:rFonts w:ascii="Times New Roman" w:hAnsi="Times New Roman" w:cs="Times New Roman"/>
                <w:sz w:val="24"/>
                <w:szCs w:val="24"/>
              </w:rPr>
              <w:t>6</w:t>
            </w:r>
            <w:r>
              <w:rPr>
                <w:rFonts w:ascii="Times New Roman" w:hAnsi="Times New Roman" w:cs="Times New Roman"/>
                <w:sz w:val="24"/>
                <w:szCs w:val="24"/>
              </w:rPr>
              <w:t>3602312</w:t>
            </w:r>
            <w:r w:rsidR="00195B3F" w:rsidRPr="0030238A">
              <w:rPr>
                <w:rFonts w:ascii="Times New Roman" w:hAnsi="Times New Roman" w:cs="Times New Roman"/>
                <w:sz w:val="24"/>
                <w:szCs w:val="24"/>
              </w:rPr>
              <w:t xml:space="preserve">, </w:t>
            </w:r>
            <w:r>
              <w:rPr>
                <w:rFonts w:ascii="Times New Roman" w:hAnsi="Times New Roman" w:cs="Times New Roman"/>
                <w:sz w:val="24"/>
                <w:szCs w:val="24"/>
              </w:rPr>
              <w:t>daiga.mazrima</w:t>
            </w:r>
            <w:r w:rsidR="00195B3F" w:rsidRPr="0030238A">
              <w:rPr>
                <w:rFonts w:ascii="Times New Roman" w:hAnsi="Times New Roman" w:cs="Times New Roman"/>
                <w:sz w:val="24"/>
                <w:szCs w:val="24"/>
              </w:rPr>
              <w:t>@vbp.lv vai iepirkumi</w:t>
            </w:r>
            <w:r w:rsidR="00195B3F" w:rsidRPr="00195B3F">
              <w:rPr>
                <w:rFonts w:ascii="Times New Roman" w:hAnsi="Times New Roman" w:cs="Times New Roman"/>
                <w:sz w:val="24"/>
                <w:szCs w:val="24"/>
              </w:rPr>
              <w:t>@vbp.lv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56732C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Informācijas apmaiņa iepirkuma procedūras ietvaros notiek rakstiski latviešu valodā pa faksu vai e-pastu (e-pastam pievienojot skenētu dokumentu), vai pastu. Informācijas apmaiņā vienmēr jānorāda iepirkuma procedūras </w:t>
      </w:r>
      <w:r w:rsidR="006A2610">
        <w:rPr>
          <w:rFonts w:ascii="Times New Roman" w:eastAsia="Times New Roman" w:hAnsi="Times New Roman" w:cs="Times New Roman"/>
          <w:sz w:val="24"/>
          <w:szCs w:val="24"/>
        </w:rPr>
        <w:t>nosaukums</w:t>
      </w:r>
      <w:r w:rsidRPr="00150241">
        <w:rPr>
          <w:rFonts w:ascii="Times New Roman" w:eastAsia="Times New Roman" w:hAnsi="Times New Roman" w:cs="Times New Roman"/>
          <w:sz w:val="24"/>
          <w:szCs w:val="24"/>
        </w:rPr>
        <w:t xml:space="preserve">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CD5925">
      <w:pPr>
        <w:pStyle w:val="Heading1"/>
        <w:numPr>
          <w:ilvl w:val="0"/>
          <w:numId w:val="2"/>
        </w:numPr>
      </w:pPr>
      <w:bookmarkStart w:id="1" w:name="_Toc120278185"/>
      <w:r w:rsidRPr="00150241">
        <w:t>INFORMĀCIJA PAR IEPIRKUMA PRIEKŠMETU</w:t>
      </w:r>
      <w:bookmarkEnd w:id="1"/>
    </w:p>
    <w:p w14:paraId="6ACEBAD1" w14:textId="03E39956" w:rsidR="006A2610" w:rsidRPr="006A2610" w:rsidRDefault="00200224"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Iepirkuma priekšmets:</w:t>
      </w:r>
      <w:r w:rsidRPr="00A4615B">
        <w:rPr>
          <w:rFonts w:ascii="Times New Roman" w:eastAsia="Calibri" w:hAnsi="Times New Roman" w:cs="Times New Roman"/>
          <w:sz w:val="24"/>
          <w:szCs w:val="24"/>
        </w:rPr>
        <w:t xml:space="preserve"> </w:t>
      </w:r>
      <w:r w:rsidR="006A2610" w:rsidRPr="006A2610">
        <w:rPr>
          <w:rFonts w:ascii="Times New Roman" w:eastAsia="Calibri" w:hAnsi="Times New Roman" w:cs="Times New Roman"/>
          <w:sz w:val="24"/>
          <w:szCs w:val="24"/>
        </w:rPr>
        <w:t>Atkritumu pieņemšana no ostā ienākošajiem prāmjiem pie piestātnes Nr.16, Nr.17, Nr.18</w:t>
      </w:r>
      <w:r w:rsidR="006A2610">
        <w:rPr>
          <w:rFonts w:ascii="Times New Roman" w:eastAsia="Calibri" w:hAnsi="Times New Roman" w:cs="Times New Roman"/>
          <w:sz w:val="24"/>
          <w:szCs w:val="24"/>
        </w:rPr>
        <w:t>.</w:t>
      </w:r>
      <w:r w:rsidR="00A70569" w:rsidRPr="00A70569">
        <w:rPr>
          <w:rFonts w:ascii="Times New Roman" w:eastAsia="Calibri" w:hAnsi="Times New Roman" w:cs="Times New Roman"/>
          <w:sz w:val="24"/>
          <w:szCs w:val="24"/>
        </w:rPr>
        <w:t xml:space="preserve"> </w:t>
      </w:r>
    </w:p>
    <w:p w14:paraId="4D7E3DA0" w14:textId="3D6CB52B" w:rsidR="006A2610" w:rsidRPr="006A2610" w:rsidRDefault="006A2610" w:rsidP="006A2610">
      <w:pPr>
        <w:pStyle w:val="ListParagraph"/>
        <w:numPr>
          <w:ilvl w:val="1"/>
          <w:numId w:val="2"/>
        </w:numPr>
        <w:spacing w:after="0"/>
        <w:ind w:left="851" w:hanging="425"/>
        <w:jc w:val="both"/>
        <w:rPr>
          <w:rFonts w:ascii="Times New Roman" w:eastAsia="Calibri" w:hAnsi="Times New Roman" w:cs="Times New Roman"/>
          <w:sz w:val="24"/>
          <w:szCs w:val="24"/>
          <w:u w:val="single"/>
        </w:rPr>
      </w:pPr>
      <w:r w:rsidRPr="00A4615B">
        <w:rPr>
          <w:rFonts w:ascii="Times New Roman" w:eastAsia="Calibri" w:hAnsi="Times New Roman" w:cs="Times New Roman"/>
          <w:b/>
          <w:sz w:val="24"/>
          <w:szCs w:val="24"/>
        </w:rPr>
        <w:t>CPV kods:</w:t>
      </w:r>
      <w:r w:rsidRPr="002A363D">
        <w:t xml:space="preserve"> </w:t>
      </w:r>
      <w:r w:rsidRPr="006A2610">
        <w:rPr>
          <w:rFonts w:ascii="Times New Roman" w:eastAsia="Calibri" w:hAnsi="Times New Roman" w:cs="Times New Roman"/>
          <w:sz w:val="24"/>
          <w:szCs w:val="24"/>
        </w:rPr>
        <w:t xml:space="preserve">90000000-7 </w:t>
      </w:r>
      <w:r>
        <w:rPr>
          <w:rFonts w:ascii="Times New Roman" w:eastAsia="Calibri" w:hAnsi="Times New Roman" w:cs="Times New Roman"/>
          <w:sz w:val="24"/>
          <w:szCs w:val="24"/>
        </w:rPr>
        <w:t>(</w:t>
      </w:r>
      <w:r w:rsidRPr="006A2610">
        <w:rPr>
          <w:rFonts w:ascii="Times New Roman" w:eastAsia="Calibri" w:hAnsi="Times New Roman" w:cs="Times New Roman"/>
          <w:sz w:val="24"/>
          <w:szCs w:val="24"/>
        </w:rPr>
        <w:t>Notekūdeņu, atkritumu, tīrīšanas un vides pakalpojumi</w:t>
      </w:r>
      <w:r w:rsidRPr="002A363D">
        <w:rPr>
          <w:rFonts w:ascii="Times New Roman" w:eastAsia="Calibri" w:hAnsi="Times New Roman" w:cs="Times New Roman"/>
          <w:sz w:val="24"/>
          <w:szCs w:val="24"/>
        </w:rPr>
        <w:t>).</w:t>
      </w:r>
    </w:p>
    <w:p w14:paraId="4811B2BA" w14:textId="0D93F041" w:rsidR="00200224" w:rsidRPr="006A2610" w:rsidRDefault="006A2610" w:rsidP="00477280">
      <w:pPr>
        <w:pStyle w:val="ListParagraph"/>
        <w:numPr>
          <w:ilvl w:val="1"/>
          <w:numId w:val="2"/>
        </w:numPr>
        <w:spacing w:after="0"/>
        <w:ind w:left="851" w:hanging="425"/>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Iepirkuma priekšmets sadalīts 11 (vienpadsmit) daļās:</w:t>
      </w:r>
    </w:p>
    <w:tbl>
      <w:tblPr>
        <w:tblW w:w="7796" w:type="dxa"/>
        <w:tblInd w:w="846" w:type="dxa"/>
        <w:tblLook w:val="04A0" w:firstRow="1" w:lastRow="0" w:firstColumn="1" w:lastColumn="0" w:noHBand="0" w:noVBand="1"/>
      </w:tblPr>
      <w:tblGrid>
        <w:gridCol w:w="5528"/>
        <w:gridCol w:w="2268"/>
      </w:tblGrid>
      <w:tr w:rsidR="006A2610" w:rsidRPr="00813E91" w14:paraId="6CBE75CF"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E8365" w14:textId="77777777" w:rsidR="006A2610" w:rsidRPr="00813E91" w:rsidRDefault="006A2610" w:rsidP="00317103">
            <w:pPr>
              <w:spacing w:after="0" w:line="240" w:lineRule="auto"/>
              <w:rPr>
                <w:rFonts w:ascii="Times New Roman" w:eastAsia="Times New Roman" w:hAnsi="Times New Roman" w:cs="Times New Roman"/>
                <w:b/>
                <w:bCs/>
                <w:color w:val="000000"/>
                <w:lang w:eastAsia="lv-LV"/>
              </w:rPr>
            </w:pPr>
            <w:r w:rsidRPr="00813E91">
              <w:rPr>
                <w:rFonts w:ascii="Times New Roman" w:eastAsia="Times New Roman" w:hAnsi="Times New Roman" w:cs="Times New Roman"/>
                <w:b/>
                <w:bCs/>
                <w:color w:val="000000"/>
                <w:lang w:eastAsia="lv-LV"/>
              </w:rPr>
              <w:t xml:space="preserve">MARPOL V Pielikums – Atkritumi/ </w:t>
            </w:r>
            <w:r w:rsidRPr="00813E91">
              <w:rPr>
                <w:rFonts w:ascii="Times New Roman" w:eastAsia="Times New Roman" w:hAnsi="Times New Roman" w:cs="Times New Roman"/>
                <w:b/>
                <w:bCs/>
                <w:i/>
                <w:iCs/>
                <w:color w:val="000000"/>
                <w:sz w:val="16"/>
                <w:szCs w:val="16"/>
                <w:lang w:eastAsia="lv-LV"/>
              </w:rPr>
              <w:t>MARPOL Annex V – Garbage</w:t>
            </w:r>
          </w:p>
        </w:tc>
        <w:tc>
          <w:tcPr>
            <w:tcW w:w="2268" w:type="dxa"/>
            <w:tcBorders>
              <w:top w:val="single" w:sz="4" w:space="0" w:color="auto"/>
              <w:left w:val="nil"/>
              <w:bottom w:val="single" w:sz="4" w:space="0" w:color="auto"/>
              <w:right w:val="single" w:sz="4" w:space="0" w:color="auto"/>
            </w:tcBorders>
          </w:tcPr>
          <w:p w14:paraId="26A39601" w14:textId="77777777" w:rsidR="006A2610" w:rsidRPr="00813E91" w:rsidRDefault="006A2610" w:rsidP="00317103">
            <w:pPr>
              <w:spacing w:after="0" w:line="240" w:lineRule="auto"/>
              <w:jc w:val="center"/>
              <w:rPr>
                <w:rFonts w:ascii="Times New Roman" w:eastAsia="Times New Roman" w:hAnsi="Times New Roman" w:cs="Times New Roman"/>
                <w:b/>
                <w:bCs/>
                <w:lang w:eastAsia="lv-LV"/>
              </w:rPr>
            </w:pPr>
            <w:r w:rsidRPr="00813E91">
              <w:rPr>
                <w:rFonts w:ascii="Times New Roman" w:eastAsia="Times New Roman" w:hAnsi="Times New Roman" w:cs="Times New Roman"/>
                <w:b/>
                <w:bCs/>
                <w:lang w:eastAsia="lv-LV"/>
              </w:rPr>
              <w:t>Plānotais apjoms gadā, m</w:t>
            </w:r>
            <w:r w:rsidRPr="00813E91">
              <w:rPr>
                <w:rFonts w:ascii="Times New Roman" w:eastAsia="Times New Roman" w:hAnsi="Times New Roman" w:cs="Times New Roman"/>
                <w:b/>
                <w:bCs/>
                <w:vertAlign w:val="superscript"/>
                <w:lang w:eastAsia="lv-LV"/>
              </w:rPr>
              <w:t>3</w:t>
            </w:r>
          </w:p>
        </w:tc>
      </w:tr>
      <w:tr w:rsidR="006A2610" w:rsidRPr="00813E91" w14:paraId="4BFCFBA6"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710C" w14:textId="00B9BEEF" w:rsidR="006A2610" w:rsidRPr="006A2610" w:rsidRDefault="006A2610" w:rsidP="006A2610">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1.daļa</w:t>
            </w:r>
            <w:r w:rsidRPr="006A2610">
              <w:rPr>
                <w:rFonts w:ascii="Times New Roman" w:eastAsia="Times New Roman" w:hAnsi="Times New Roman" w:cs="Times New Roman"/>
                <w:color w:val="000000"/>
                <w:lang w:eastAsia="lv-LV"/>
              </w:rPr>
              <w:t xml:space="preserve"> - Plastmasa/</w:t>
            </w:r>
            <w:r w:rsidRPr="006A2610">
              <w:rPr>
                <w:rFonts w:ascii="Times New Roman" w:eastAsia="Times New Roman" w:hAnsi="Times New Roman" w:cs="Times New Roman"/>
                <w:i/>
                <w:iCs/>
                <w:color w:val="000000"/>
                <w:sz w:val="16"/>
                <w:szCs w:val="16"/>
                <w:lang w:eastAsia="lv-LV"/>
              </w:rPr>
              <w:t xml:space="preserve"> Plastic</w:t>
            </w:r>
          </w:p>
        </w:tc>
        <w:tc>
          <w:tcPr>
            <w:tcW w:w="2268" w:type="dxa"/>
            <w:tcBorders>
              <w:top w:val="single" w:sz="4" w:space="0" w:color="auto"/>
              <w:left w:val="single" w:sz="4" w:space="0" w:color="auto"/>
              <w:bottom w:val="single" w:sz="4" w:space="0" w:color="auto"/>
              <w:right w:val="single" w:sz="4" w:space="0" w:color="auto"/>
            </w:tcBorders>
          </w:tcPr>
          <w:p w14:paraId="488FB419"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420</w:t>
            </w:r>
          </w:p>
        </w:tc>
      </w:tr>
      <w:tr w:rsidR="006A2610" w:rsidRPr="00813E91" w14:paraId="462938C3"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EDD9B" w14:textId="68D1C947"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2.daļa - </w:t>
            </w:r>
            <w:r w:rsidRPr="00813E91">
              <w:rPr>
                <w:rFonts w:ascii="Times New Roman" w:eastAsia="Times New Roman" w:hAnsi="Times New Roman" w:cs="Times New Roman"/>
                <w:color w:val="000000"/>
                <w:lang w:eastAsia="lv-LV"/>
              </w:rPr>
              <w:t xml:space="preserve">Pārtikas atkritumi/ </w:t>
            </w:r>
            <w:r w:rsidRPr="00813E91">
              <w:rPr>
                <w:rFonts w:ascii="Times New Roman" w:eastAsia="Times New Roman" w:hAnsi="Times New Roman" w:cs="Times New Roman"/>
                <w:i/>
                <w:iCs/>
                <w:color w:val="000000"/>
                <w:sz w:val="16"/>
                <w:szCs w:val="16"/>
                <w:lang w:eastAsia="lv-LV"/>
              </w:rPr>
              <w:t>Food waste</w:t>
            </w:r>
          </w:p>
        </w:tc>
        <w:tc>
          <w:tcPr>
            <w:tcW w:w="2268" w:type="dxa"/>
            <w:tcBorders>
              <w:top w:val="single" w:sz="4" w:space="0" w:color="auto"/>
              <w:left w:val="nil"/>
              <w:bottom w:val="single" w:sz="4" w:space="0" w:color="auto"/>
              <w:right w:val="single" w:sz="4" w:space="0" w:color="auto"/>
            </w:tcBorders>
          </w:tcPr>
          <w:p w14:paraId="43985608"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480</w:t>
            </w:r>
          </w:p>
        </w:tc>
      </w:tr>
      <w:tr w:rsidR="006A2610" w:rsidRPr="00813E91" w14:paraId="6F42B8AA"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37219" w14:textId="5005B8F6"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lastRenderedPageBreak/>
              <w:t xml:space="preserve">3.daļa - </w:t>
            </w:r>
            <w:r w:rsidRPr="00813E91">
              <w:rPr>
                <w:rFonts w:ascii="Times New Roman" w:eastAsia="Times New Roman" w:hAnsi="Times New Roman" w:cs="Times New Roman"/>
                <w:color w:val="000000"/>
                <w:lang w:eastAsia="lv-LV"/>
              </w:rPr>
              <w:t xml:space="preserve">Sadzīves atkritumi (papīrs, lupatas, stikls, metāls)/ </w:t>
            </w:r>
            <w:r w:rsidRPr="00813E91">
              <w:rPr>
                <w:rFonts w:ascii="Times New Roman" w:eastAsia="Times New Roman" w:hAnsi="Times New Roman" w:cs="Times New Roman"/>
                <w:i/>
                <w:iCs/>
                <w:color w:val="000000"/>
                <w:sz w:val="16"/>
                <w:szCs w:val="16"/>
                <w:lang w:eastAsia="lv-LV"/>
              </w:rPr>
              <w:t>Domestic waste</w:t>
            </w:r>
            <w:r w:rsidRPr="00813E91">
              <w:rPr>
                <w:rFonts w:ascii="Times New Roman" w:eastAsia="Times New Roman" w:hAnsi="Times New Roman" w:cs="Times New Roman"/>
                <w:color w:val="000000"/>
                <w:lang w:eastAsia="lv-LV"/>
              </w:rPr>
              <w:t xml:space="preserve"> </w:t>
            </w:r>
          </w:p>
        </w:tc>
        <w:tc>
          <w:tcPr>
            <w:tcW w:w="2268" w:type="dxa"/>
            <w:tcBorders>
              <w:top w:val="single" w:sz="4" w:space="0" w:color="auto"/>
              <w:left w:val="nil"/>
              <w:bottom w:val="single" w:sz="4" w:space="0" w:color="auto"/>
              <w:right w:val="single" w:sz="4" w:space="0" w:color="auto"/>
            </w:tcBorders>
          </w:tcPr>
          <w:p w14:paraId="05ECFA15"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2200</w:t>
            </w:r>
          </w:p>
        </w:tc>
      </w:tr>
      <w:tr w:rsidR="006A2610" w:rsidRPr="00813E91" w14:paraId="38603FC6"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34512" w14:textId="5BF5E903"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4.daļa - </w:t>
            </w:r>
            <w:r w:rsidRPr="00813E91">
              <w:rPr>
                <w:rFonts w:ascii="Times New Roman" w:eastAsia="Times New Roman" w:hAnsi="Times New Roman" w:cs="Times New Roman"/>
                <w:color w:val="000000"/>
                <w:lang w:eastAsia="lv-LV"/>
              </w:rPr>
              <w:t xml:space="preserve">Cepamā eļļa/ </w:t>
            </w:r>
            <w:r w:rsidRPr="00813E91">
              <w:rPr>
                <w:rFonts w:ascii="Times New Roman" w:eastAsia="Times New Roman" w:hAnsi="Times New Roman" w:cs="Times New Roman"/>
                <w:i/>
                <w:iCs/>
                <w:color w:val="000000"/>
                <w:sz w:val="16"/>
                <w:szCs w:val="16"/>
                <w:lang w:eastAsia="lv-LV"/>
              </w:rPr>
              <w:t>Cooking oil</w:t>
            </w:r>
          </w:p>
        </w:tc>
        <w:tc>
          <w:tcPr>
            <w:tcW w:w="2268" w:type="dxa"/>
            <w:tcBorders>
              <w:top w:val="single" w:sz="4" w:space="0" w:color="auto"/>
              <w:left w:val="nil"/>
              <w:bottom w:val="single" w:sz="4" w:space="0" w:color="auto"/>
              <w:right w:val="single" w:sz="4" w:space="0" w:color="auto"/>
            </w:tcBorders>
          </w:tcPr>
          <w:p w14:paraId="116DB25C"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5</w:t>
            </w:r>
          </w:p>
        </w:tc>
      </w:tr>
      <w:tr w:rsidR="006A2610" w:rsidRPr="00813E91" w14:paraId="2CFBB16A"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B6C4A" w14:textId="1BBA6F10"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5.daļa - </w:t>
            </w:r>
            <w:r w:rsidRPr="00813E91">
              <w:rPr>
                <w:rFonts w:ascii="Times New Roman" w:eastAsia="Times New Roman" w:hAnsi="Times New Roman" w:cs="Times New Roman"/>
                <w:color w:val="000000"/>
                <w:lang w:eastAsia="lv-LV"/>
              </w:rPr>
              <w:t>Atkritumu dedzināmās krāsns pelni/</w:t>
            </w:r>
            <w:r w:rsidRPr="00813E91">
              <w:rPr>
                <w:rFonts w:ascii="Times New Roman" w:eastAsia="Times New Roman" w:hAnsi="Times New Roman" w:cs="Times New Roman"/>
                <w:i/>
                <w:iCs/>
                <w:color w:val="000000"/>
                <w:sz w:val="16"/>
                <w:szCs w:val="16"/>
                <w:lang w:eastAsia="lv-LV"/>
              </w:rPr>
              <w:t xml:space="preserve"> Incinerator ashes</w:t>
            </w:r>
          </w:p>
        </w:tc>
        <w:tc>
          <w:tcPr>
            <w:tcW w:w="2268" w:type="dxa"/>
            <w:tcBorders>
              <w:top w:val="single" w:sz="4" w:space="0" w:color="auto"/>
              <w:left w:val="nil"/>
              <w:bottom w:val="single" w:sz="4" w:space="0" w:color="auto"/>
              <w:right w:val="single" w:sz="4" w:space="0" w:color="auto"/>
            </w:tcBorders>
          </w:tcPr>
          <w:p w14:paraId="1CF6392A"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r w:rsidR="006A2610" w:rsidRPr="00813E91" w14:paraId="6938E7FC"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1E8FA" w14:textId="52E821A8"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6.daļa - </w:t>
            </w:r>
            <w:r w:rsidRPr="00813E91">
              <w:rPr>
                <w:rFonts w:ascii="Times New Roman" w:eastAsia="Times New Roman" w:hAnsi="Times New Roman" w:cs="Times New Roman"/>
                <w:color w:val="000000"/>
                <w:lang w:eastAsia="lv-LV"/>
              </w:rPr>
              <w:t xml:space="preserve">Ekspluatācijas atkritumi (t.sk. eļļainās lupatas, tukšas eļļas mucas, medikamenti ar nederīgu derīguma termiņu, klāju sateču dubļi)/ </w:t>
            </w:r>
            <w:r w:rsidRPr="00813E91">
              <w:rPr>
                <w:rFonts w:ascii="Times New Roman" w:eastAsia="Times New Roman" w:hAnsi="Times New Roman" w:cs="Times New Roman"/>
                <w:i/>
                <w:iCs/>
                <w:color w:val="000000"/>
                <w:sz w:val="16"/>
                <w:szCs w:val="16"/>
                <w:lang w:eastAsia="lv-LV"/>
              </w:rPr>
              <w:t>Operational waste</w:t>
            </w:r>
          </w:p>
        </w:tc>
        <w:tc>
          <w:tcPr>
            <w:tcW w:w="2268" w:type="dxa"/>
            <w:tcBorders>
              <w:top w:val="single" w:sz="4" w:space="0" w:color="auto"/>
              <w:left w:val="nil"/>
              <w:bottom w:val="single" w:sz="4" w:space="0" w:color="auto"/>
              <w:right w:val="single" w:sz="4" w:space="0" w:color="auto"/>
            </w:tcBorders>
          </w:tcPr>
          <w:p w14:paraId="65E3A4DF"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100</w:t>
            </w:r>
          </w:p>
        </w:tc>
      </w:tr>
      <w:tr w:rsidR="006A2610" w:rsidRPr="00813E91" w14:paraId="5B9910D1"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89ABE" w14:textId="22B7C8B1"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7.daļa - </w:t>
            </w:r>
            <w:r w:rsidRPr="00813E91">
              <w:rPr>
                <w:rFonts w:ascii="Times New Roman" w:eastAsia="Times New Roman" w:hAnsi="Times New Roman" w:cs="Times New Roman"/>
                <w:color w:val="000000"/>
                <w:lang w:eastAsia="lv-LV"/>
              </w:rPr>
              <w:t xml:space="preserve">Dzīvnieku kautķermeņi / </w:t>
            </w:r>
            <w:r w:rsidRPr="00813E91">
              <w:rPr>
                <w:rFonts w:ascii="Times New Roman" w:eastAsia="Times New Roman" w:hAnsi="Times New Roman" w:cs="Times New Roman"/>
                <w:i/>
                <w:iCs/>
                <w:color w:val="000000"/>
                <w:sz w:val="16"/>
                <w:szCs w:val="16"/>
                <w:lang w:eastAsia="lv-LV"/>
              </w:rPr>
              <w:t xml:space="preserve">Animal carcass </w:t>
            </w:r>
          </w:p>
        </w:tc>
        <w:tc>
          <w:tcPr>
            <w:tcW w:w="2268" w:type="dxa"/>
            <w:tcBorders>
              <w:top w:val="single" w:sz="4" w:space="0" w:color="auto"/>
              <w:left w:val="nil"/>
              <w:bottom w:val="single" w:sz="4" w:space="0" w:color="auto"/>
              <w:right w:val="single" w:sz="4" w:space="0" w:color="auto"/>
            </w:tcBorders>
          </w:tcPr>
          <w:p w14:paraId="7BC54FF3"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r w:rsidR="006A2610" w:rsidRPr="00813E91" w14:paraId="7EBFC883"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6FF5D" w14:textId="04B91BA7"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8.daļa -</w:t>
            </w:r>
            <w:r w:rsidRPr="00813E91">
              <w:rPr>
                <w:rFonts w:ascii="Times New Roman" w:eastAsia="Times New Roman" w:hAnsi="Times New Roman" w:cs="Times New Roman"/>
                <w:color w:val="000000"/>
                <w:lang w:eastAsia="lv-LV"/>
              </w:rPr>
              <w:t xml:space="preserve"> Zvejas rīki/</w:t>
            </w:r>
            <w:r w:rsidRPr="00813E91">
              <w:rPr>
                <w:rFonts w:ascii="Times New Roman" w:eastAsia="Times New Roman" w:hAnsi="Times New Roman" w:cs="Times New Roman"/>
                <w:i/>
                <w:iCs/>
                <w:color w:val="000000"/>
                <w:sz w:val="16"/>
                <w:szCs w:val="16"/>
                <w:lang w:eastAsia="lv-LV"/>
              </w:rPr>
              <w:t xml:space="preserve"> Fishing gear</w:t>
            </w:r>
          </w:p>
        </w:tc>
        <w:tc>
          <w:tcPr>
            <w:tcW w:w="2268" w:type="dxa"/>
            <w:tcBorders>
              <w:top w:val="single" w:sz="4" w:space="0" w:color="auto"/>
              <w:left w:val="nil"/>
              <w:bottom w:val="single" w:sz="4" w:space="0" w:color="auto"/>
              <w:right w:val="single" w:sz="4" w:space="0" w:color="auto"/>
            </w:tcBorders>
          </w:tcPr>
          <w:p w14:paraId="651F59AA"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r w:rsidR="006A2610" w:rsidRPr="00813E91" w14:paraId="2ABB84F8"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C502A" w14:textId="3CD016C6"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9.daļa -</w:t>
            </w:r>
            <w:r w:rsidRPr="00813E91">
              <w:rPr>
                <w:rFonts w:ascii="Times New Roman" w:eastAsia="Times New Roman" w:hAnsi="Times New Roman" w:cs="Times New Roman"/>
                <w:color w:val="000000"/>
                <w:lang w:eastAsia="lv-LV"/>
              </w:rPr>
              <w:t xml:space="preserve"> Elektrisko un elektronisko iekārtu atkritumi /</w:t>
            </w:r>
            <w:r w:rsidRPr="00813E91">
              <w:rPr>
                <w:rFonts w:ascii="Times New Roman" w:eastAsia="Times New Roman" w:hAnsi="Times New Roman" w:cs="Times New Roman"/>
                <w:i/>
                <w:iCs/>
                <w:color w:val="000000"/>
                <w:sz w:val="16"/>
                <w:szCs w:val="16"/>
                <w:lang w:eastAsia="lv-LV"/>
              </w:rPr>
              <w:t>electrical and electronic waste</w:t>
            </w:r>
          </w:p>
        </w:tc>
        <w:tc>
          <w:tcPr>
            <w:tcW w:w="2268" w:type="dxa"/>
            <w:tcBorders>
              <w:top w:val="single" w:sz="4" w:space="0" w:color="auto"/>
              <w:left w:val="nil"/>
              <w:bottom w:val="single" w:sz="4" w:space="0" w:color="auto"/>
              <w:right w:val="single" w:sz="4" w:space="0" w:color="auto"/>
            </w:tcBorders>
          </w:tcPr>
          <w:p w14:paraId="221C176D"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5</w:t>
            </w:r>
          </w:p>
        </w:tc>
      </w:tr>
      <w:tr w:rsidR="006A2610" w:rsidRPr="00813E91" w14:paraId="198B90FD"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8E5CC" w14:textId="15FE9A8B"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10.daļa -</w:t>
            </w:r>
            <w:r w:rsidRPr="00813E91">
              <w:rPr>
                <w:rFonts w:ascii="Times New Roman" w:eastAsia="Times New Roman" w:hAnsi="Times New Roman" w:cs="Times New Roman"/>
                <w:color w:val="000000"/>
                <w:lang w:eastAsia="lv-LV"/>
              </w:rPr>
              <w:t xml:space="preserve"> Kravu pārpalikumi (nebīstami jūras videi)/</w:t>
            </w:r>
            <w:r w:rsidRPr="00813E91">
              <w:rPr>
                <w:rFonts w:ascii="Times New Roman" w:eastAsia="Times New Roman" w:hAnsi="Times New Roman" w:cs="Times New Roman"/>
                <w:i/>
                <w:iCs/>
                <w:color w:val="000000"/>
                <w:lang w:eastAsia="lv-LV"/>
              </w:rPr>
              <w:t xml:space="preserve"> </w:t>
            </w:r>
            <w:r w:rsidRPr="00813E91">
              <w:rPr>
                <w:rFonts w:ascii="Times New Roman" w:eastAsia="Times New Roman" w:hAnsi="Times New Roman" w:cs="Times New Roman"/>
                <w:i/>
                <w:iCs/>
                <w:color w:val="000000"/>
                <w:sz w:val="16"/>
                <w:szCs w:val="16"/>
                <w:lang w:eastAsia="lv-LV"/>
              </w:rPr>
              <w:t>Cargo residues, non harmful</w:t>
            </w:r>
          </w:p>
        </w:tc>
        <w:tc>
          <w:tcPr>
            <w:tcW w:w="2268" w:type="dxa"/>
            <w:tcBorders>
              <w:top w:val="single" w:sz="4" w:space="0" w:color="auto"/>
              <w:left w:val="nil"/>
              <w:bottom w:val="single" w:sz="4" w:space="0" w:color="auto"/>
              <w:right w:val="single" w:sz="4" w:space="0" w:color="auto"/>
            </w:tcBorders>
          </w:tcPr>
          <w:p w14:paraId="5FC4BCCB"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r w:rsidR="006A2610" w:rsidRPr="00813E91" w14:paraId="4BE3C1E8" w14:textId="77777777" w:rsidTr="006A2610">
        <w:trPr>
          <w:trHeight w:val="290"/>
        </w:trPr>
        <w:tc>
          <w:tcPr>
            <w:tcW w:w="55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5FA34" w14:textId="36179CD9" w:rsidR="006A2610" w:rsidRPr="00813E91" w:rsidRDefault="006A2610" w:rsidP="00317103">
            <w:pPr>
              <w:spacing w:after="0" w:line="240" w:lineRule="auto"/>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11.daļa -</w:t>
            </w:r>
            <w:r w:rsidRPr="00813E91">
              <w:rPr>
                <w:rFonts w:ascii="Times New Roman" w:eastAsia="Times New Roman" w:hAnsi="Times New Roman" w:cs="Times New Roman"/>
                <w:color w:val="000000"/>
                <w:lang w:eastAsia="lv-LV"/>
              </w:rPr>
              <w:t xml:space="preserve"> Kravu pārpalikumi (bīstami jūras videi)/ </w:t>
            </w:r>
            <w:r w:rsidRPr="00813E91">
              <w:rPr>
                <w:rFonts w:ascii="Times New Roman" w:eastAsia="Times New Roman" w:hAnsi="Times New Roman" w:cs="Times New Roman"/>
                <w:i/>
                <w:iCs/>
                <w:color w:val="000000"/>
                <w:sz w:val="16"/>
                <w:szCs w:val="16"/>
                <w:lang w:eastAsia="lv-LV"/>
              </w:rPr>
              <w:t>Cargo residues, harmful</w:t>
            </w:r>
          </w:p>
        </w:tc>
        <w:tc>
          <w:tcPr>
            <w:tcW w:w="2268" w:type="dxa"/>
            <w:tcBorders>
              <w:top w:val="single" w:sz="4" w:space="0" w:color="auto"/>
              <w:left w:val="nil"/>
              <w:bottom w:val="single" w:sz="4" w:space="0" w:color="auto"/>
              <w:right w:val="single" w:sz="4" w:space="0" w:color="auto"/>
            </w:tcBorders>
          </w:tcPr>
          <w:p w14:paraId="099C4A87" w14:textId="77777777" w:rsidR="006A2610" w:rsidRPr="00813E91" w:rsidRDefault="006A2610" w:rsidP="00317103">
            <w:pPr>
              <w:spacing w:after="0" w:line="240" w:lineRule="auto"/>
              <w:jc w:val="center"/>
              <w:rPr>
                <w:rFonts w:ascii="Times New Roman" w:eastAsia="Times New Roman" w:hAnsi="Times New Roman" w:cs="Times New Roman"/>
                <w:color w:val="000000"/>
                <w:lang w:eastAsia="lv-LV"/>
              </w:rPr>
            </w:pPr>
            <w:r w:rsidRPr="00813E91">
              <w:rPr>
                <w:rFonts w:ascii="Times New Roman" w:eastAsia="Times New Roman" w:hAnsi="Times New Roman" w:cs="Times New Roman"/>
                <w:color w:val="000000"/>
                <w:lang w:eastAsia="lv-LV"/>
              </w:rPr>
              <w:t>*</w:t>
            </w:r>
          </w:p>
        </w:tc>
      </w:tr>
    </w:tbl>
    <w:p w14:paraId="4995D92E" w14:textId="77777777" w:rsidR="003804C3" w:rsidRDefault="003804C3" w:rsidP="003804C3">
      <w:pPr>
        <w:spacing w:after="0"/>
        <w:ind w:left="720" w:firstLine="720"/>
        <w:rPr>
          <w:rFonts w:ascii="Times New Roman" w:hAnsi="Times New Roman"/>
          <w:i/>
          <w:iCs/>
          <w:sz w:val="28"/>
          <w:szCs w:val="28"/>
          <w:vertAlign w:val="superscript"/>
        </w:rPr>
      </w:pPr>
      <w:r>
        <w:rPr>
          <w:rFonts w:ascii="Times New Roman" w:hAnsi="Times New Roman"/>
          <w:i/>
          <w:iCs/>
          <w:sz w:val="28"/>
          <w:szCs w:val="28"/>
          <w:vertAlign w:val="superscript"/>
        </w:rPr>
        <w:t xml:space="preserve">*Pēc nepieciešamības, 2022.gadā pieņemtais atkritumu daudzums 0 m3. </w:t>
      </w:r>
    </w:p>
    <w:p w14:paraId="09E09168" w14:textId="4C49E2FD" w:rsidR="00200224" w:rsidRPr="003D1967" w:rsidRDefault="003D1967" w:rsidP="003804C3">
      <w:pPr>
        <w:spacing w:after="0"/>
        <w:ind w:left="720"/>
        <w:rPr>
          <w:rFonts w:ascii="Times New Roman" w:eastAsia="Times New Roman" w:hAnsi="Times New Roman" w:cs="Times New Roman"/>
          <w:caps/>
          <w:sz w:val="24"/>
          <w:szCs w:val="24"/>
        </w:rPr>
      </w:pPr>
      <w:r w:rsidRPr="003D1967">
        <w:rPr>
          <w:rFonts w:ascii="Times New Roman" w:hAnsi="Times New Roman" w:cs="Times New Roman"/>
          <w:sz w:val="24"/>
          <w:szCs w:val="24"/>
        </w:rPr>
        <w:t>Pretendentam ir tiesības sagatavot piedāvājumu par vienu</w:t>
      </w:r>
      <w:r w:rsidR="00676143">
        <w:rPr>
          <w:rFonts w:ascii="Times New Roman" w:hAnsi="Times New Roman" w:cs="Times New Roman"/>
          <w:sz w:val="24"/>
          <w:szCs w:val="24"/>
        </w:rPr>
        <w:t xml:space="preserve">, </w:t>
      </w:r>
      <w:r w:rsidRPr="003D1967">
        <w:rPr>
          <w:rFonts w:ascii="Times New Roman" w:hAnsi="Times New Roman" w:cs="Times New Roman"/>
          <w:sz w:val="24"/>
          <w:szCs w:val="24"/>
        </w:rPr>
        <w:t>vairākām</w:t>
      </w:r>
      <w:r w:rsidR="00676143">
        <w:rPr>
          <w:rFonts w:ascii="Times New Roman" w:hAnsi="Times New Roman" w:cs="Times New Roman"/>
          <w:sz w:val="24"/>
          <w:szCs w:val="24"/>
        </w:rPr>
        <w:t xml:space="preserve"> vai visām</w:t>
      </w:r>
      <w:r w:rsidRPr="003D1967">
        <w:rPr>
          <w:rFonts w:ascii="Times New Roman" w:hAnsi="Times New Roman" w:cs="Times New Roman"/>
          <w:sz w:val="24"/>
          <w:szCs w:val="24"/>
        </w:rPr>
        <w:t xml:space="preserve"> iepirkuma daļām. Pasūtītājs patur tiesības slēgt līgumu par visu iepirkuma apjomu kopumā vai par katru iepirkuma daļu atsevišķi. Katrā iepirkuma daļā uzvarētājs tiks noteikts atsevišķi.</w:t>
      </w:r>
    </w:p>
    <w:p w14:paraId="08475AFB" w14:textId="36AEDF8C" w:rsidR="003D1967" w:rsidRDefault="003D1967" w:rsidP="003D1967">
      <w:pPr>
        <w:pStyle w:val="ListParagraph"/>
        <w:numPr>
          <w:ilvl w:val="1"/>
          <w:numId w:val="2"/>
        </w:numPr>
        <w:jc w:val="both"/>
        <w:rPr>
          <w:rFonts w:ascii="Times New Roman" w:eastAsia="Times New Roman" w:hAnsi="Times New Roman" w:cs="Times New Roman"/>
          <w:sz w:val="24"/>
          <w:szCs w:val="24"/>
          <w:lang w:eastAsia="lv-LV"/>
        </w:rPr>
      </w:pPr>
      <w:r w:rsidRPr="003D1967">
        <w:rPr>
          <w:rFonts w:ascii="Times New Roman" w:eastAsia="Times New Roman" w:hAnsi="Times New Roman" w:cs="Times New Roman"/>
          <w:b/>
          <w:sz w:val="24"/>
          <w:szCs w:val="24"/>
          <w:lang w:eastAsia="lv-LV"/>
        </w:rPr>
        <w:t>Iepirkuma līguma izpildes termiņš:</w:t>
      </w:r>
      <w:r w:rsidRPr="003D1967">
        <w:rPr>
          <w:rFonts w:ascii="Times New Roman" w:eastAsia="Times New Roman" w:hAnsi="Times New Roman" w:cs="Times New Roman"/>
          <w:sz w:val="24"/>
          <w:szCs w:val="24"/>
          <w:lang w:eastAsia="lv-LV"/>
        </w:rPr>
        <w:t xml:space="preserve"> </w:t>
      </w:r>
      <w:r w:rsidR="004211D9">
        <w:rPr>
          <w:rFonts w:ascii="Times New Roman" w:eastAsia="Times New Roman" w:hAnsi="Times New Roman" w:cs="Times New Roman"/>
          <w:sz w:val="24"/>
          <w:szCs w:val="24"/>
          <w:lang w:eastAsia="lv-LV"/>
        </w:rPr>
        <w:t>1</w:t>
      </w:r>
      <w:r w:rsidR="00382C29" w:rsidRPr="00382C29">
        <w:rPr>
          <w:rFonts w:ascii="Times New Roman" w:eastAsia="Times New Roman" w:hAnsi="Times New Roman" w:cs="Times New Roman"/>
          <w:sz w:val="24"/>
          <w:szCs w:val="24"/>
          <w:lang w:eastAsia="lv-LV"/>
        </w:rPr>
        <w:t>2 (divpadsmit) mēneši no Līguma parakstīšanas brīža. Līgums var tikt pagarināts uz vēl 12 (divpadsmit) mēnešiem</w:t>
      </w:r>
      <w:r w:rsidR="00FC1C8C">
        <w:rPr>
          <w:rFonts w:ascii="Times New Roman" w:eastAsia="Times New Roman" w:hAnsi="Times New Roman" w:cs="Times New Roman"/>
          <w:sz w:val="24"/>
          <w:szCs w:val="24"/>
          <w:lang w:eastAsia="lv-LV"/>
        </w:rPr>
        <w:t>, bet ne ilgāk kā uz 5 (pieciem) gadiem</w:t>
      </w:r>
      <w:r w:rsidRPr="003D1967">
        <w:rPr>
          <w:rFonts w:ascii="Times New Roman" w:eastAsia="Times New Roman" w:hAnsi="Times New Roman" w:cs="Times New Roman"/>
          <w:sz w:val="24"/>
          <w:szCs w:val="24"/>
          <w:lang w:eastAsia="lv-LV"/>
        </w:rPr>
        <w:t>.</w:t>
      </w:r>
    </w:p>
    <w:p w14:paraId="2786A14B" w14:textId="29D0F239" w:rsidR="00EC3BEC" w:rsidRDefault="00EC3BEC" w:rsidP="003D1967">
      <w:pPr>
        <w:pStyle w:val="ListParagraph"/>
        <w:numPr>
          <w:ilvl w:val="1"/>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Iepirkuma līguma izpildes vieta:</w:t>
      </w:r>
      <w:r>
        <w:rPr>
          <w:rFonts w:ascii="Times New Roman" w:eastAsia="Times New Roman" w:hAnsi="Times New Roman" w:cs="Times New Roman"/>
          <w:sz w:val="24"/>
          <w:szCs w:val="24"/>
          <w:lang w:eastAsia="lv-LV"/>
        </w:rPr>
        <w:t xml:space="preserve"> Ventspils.</w:t>
      </w:r>
    </w:p>
    <w:p w14:paraId="4FE93FA2" w14:textId="4403A59D" w:rsidR="0095357F" w:rsidRPr="003D1967" w:rsidRDefault="0095357F" w:rsidP="003D1967">
      <w:pPr>
        <w:pStyle w:val="ListParagraph"/>
        <w:numPr>
          <w:ilvl w:val="1"/>
          <w:numId w:val="2"/>
        </w:numPr>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t>Avanss netiek paredzēts.</w:t>
      </w:r>
    </w:p>
    <w:p w14:paraId="6B4CAC80" w14:textId="45F2BE0A" w:rsidR="00E75D9B" w:rsidRPr="00150241" w:rsidRDefault="00E75D9B" w:rsidP="00CD5925">
      <w:pPr>
        <w:pStyle w:val="Heading1"/>
      </w:pPr>
      <w:bookmarkStart w:id="2" w:name="_Toc120278186"/>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58DF7ED4" w14:textId="357FACE1" w:rsidR="00477280" w:rsidRPr="00850598"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Pretendenta pieteikums (</w:t>
      </w:r>
      <w:r w:rsidR="00382C29">
        <w:rPr>
          <w:rFonts w:ascii="Times New Roman" w:eastAsia="Times New Roman" w:hAnsi="Times New Roman" w:cs="Times New Roman"/>
          <w:sz w:val="24"/>
          <w:szCs w:val="24"/>
        </w:rPr>
        <w:t>1</w:t>
      </w:r>
      <w:r w:rsidRPr="00477280">
        <w:rPr>
          <w:rFonts w:ascii="Times New Roman" w:eastAsia="Times New Roman" w:hAnsi="Times New Roman" w:cs="Times New Roman"/>
          <w:sz w:val="24"/>
          <w:szCs w:val="24"/>
        </w:rPr>
        <w:t>.pielikums);</w:t>
      </w:r>
    </w:p>
    <w:p w14:paraId="2989F162" w14:textId="01301677" w:rsidR="00755459" w:rsidRPr="0081237A" w:rsidRDefault="00E75D9B" w:rsidP="00540710">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477280">
        <w:rPr>
          <w:rFonts w:ascii="Times New Roman" w:eastAsia="Times New Roman" w:hAnsi="Times New Roman" w:cs="Times New Roman"/>
          <w:sz w:val="24"/>
          <w:szCs w:val="24"/>
        </w:rPr>
        <w:t>Apakšuzņēmēju saraksts un apakšuzņēmēju apliecinājums (</w:t>
      </w:r>
      <w:r w:rsidR="00D64F06">
        <w:rPr>
          <w:rFonts w:ascii="Times New Roman" w:eastAsia="Times New Roman" w:hAnsi="Times New Roman" w:cs="Times New Roman"/>
          <w:sz w:val="24"/>
          <w:szCs w:val="24"/>
        </w:rPr>
        <w:t>2</w:t>
      </w:r>
      <w:r w:rsidRPr="00477280">
        <w:rPr>
          <w:rFonts w:ascii="Times New Roman" w:eastAsia="Times New Roman" w:hAnsi="Times New Roman" w:cs="Times New Roman"/>
          <w:sz w:val="24"/>
          <w:szCs w:val="24"/>
        </w:rPr>
        <w:t>.pielikums)</w:t>
      </w:r>
      <w:r w:rsidR="00382C29">
        <w:rPr>
          <w:rFonts w:ascii="Times New Roman" w:eastAsia="Times New Roman" w:hAnsi="Times New Roman" w:cs="Times New Roman"/>
          <w:sz w:val="24"/>
          <w:szCs w:val="24"/>
        </w:rPr>
        <w:t>.</w:t>
      </w:r>
    </w:p>
    <w:p w14:paraId="03337EC7" w14:textId="07999A35" w:rsidR="00E75D9B" w:rsidRPr="0081237A"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461B77" w:rsidRPr="00377030">
          <w:rPr>
            <w:rStyle w:val="Hyperlink"/>
            <w:rFonts w:ascii="Times New Roman" w:eastAsia="Times New Roman" w:hAnsi="Times New Roman" w:cs="Times New Roman"/>
            <w:sz w:val="24"/>
            <w:szCs w:val="24"/>
          </w:rPr>
          <w:t>https://www.portofventspils.lv/lv/brivostas-parvalde/publiskie-iepirkumi/</w:t>
        </w:r>
      </w:hyperlink>
      <w:r w:rsidR="00461B77">
        <w:rPr>
          <w:rStyle w:val="Hyperlink"/>
          <w:rFonts w:ascii="Times New Roman" w:eastAsia="Times New Roman" w:hAnsi="Times New Roman" w:cs="Times New Roman"/>
          <w:sz w:val="24"/>
          <w:szCs w:val="24"/>
          <w:u w:val="none"/>
        </w:rPr>
        <w:t xml:space="preserve"> </w:t>
      </w:r>
      <w:r w:rsidR="00461B77" w:rsidRPr="00461B77">
        <w:rPr>
          <w:rStyle w:val="Hyperlink"/>
          <w:rFonts w:ascii="Times New Roman" w:eastAsia="Times New Roman" w:hAnsi="Times New Roman" w:cs="Times New Roman"/>
          <w:color w:val="auto"/>
          <w:sz w:val="24"/>
          <w:szCs w:val="24"/>
          <w:u w:val="none"/>
        </w:rPr>
        <w:t>un</w:t>
      </w:r>
      <w:r w:rsidR="00461B77">
        <w:rPr>
          <w:rStyle w:val="Hyperlink"/>
          <w:rFonts w:ascii="Times New Roman" w:eastAsia="Times New Roman" w:hAnsi="Times New Roman" w:cs="Times New Roman"/>
          <w:sz w:val="24"/>
          <w:szCs w:val="24"/>
          <w:u w:val="none"/>
        </w:rPr>
        <w:t xml:space="preserve">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202</w:t>
      </w:r>
      <w:r w:rsidR="00461B77">
        <w:rPr>
          <w:rFonts w:ascii="Times New Roman" w:eastAsia="Times New Roman" w:hAnsi="Times New Roman" w:cs="Times New Roman"/>
          <w:b/>
          <w:bCs/>
          <w:color w:val="000000"/>
          <w:sz w:val="24"/>
          <w:szCs w:val="24"/>
        </w:rPr>
        <w:t>2</w:t>
      </w:r>
      <w:r w:rsidRPr="00150241">
        <w:rPr>
          <w:rFonts w:ascii="Times New Roman" w:eastAsia="Times New Roman" w:hAnsi="Times New Roman" w:cs="Times New Roman"/>
          <w:b/>
          <w:bCs/>
          <w:color w:val="000000"/>
          <w:sz w:val="24"/>
          <w:szCs w:val="24"/>
        </w:rPr>
        <w:t xml:space="preserve">.gada </w:t>
      </w:r>
      <w:r w:rsidR="00D430DD">
        <w:rPr>
          <w:rFonts w:ascii="Times New Roman" w:eastAsia="Times New Roman" w:hAnsi="Times New Roman" w:cs="Times New Roman"/>
          <w:b/>
          <w:bCs/>
          <w:color w:val="000000"/>
          <w:sz w:val="24"/>
          <w:szCs w:val="24"/>
        </w:rPr>
        <w:t>20</w:t>
      </w:r>
      <w:r w:rsidR="00924C2D">
        <w:rPr>
          <w:rFonts w:ascii="Times New Roman" w:eastAsia="Times New Roman" w:hAnsi="Times New Roman" w:cs="Times New Roman"/>
          <w:b/>
          <w:bCs/>
          <w:color w:val="000000"/>
          <w:sz w:val="24"/>
          <w:szCs w:val="24"/>
        </w:rPr>
        <w:t>.decembrim</w:t>
      </w:r>
      <w:r w:rsidR="006A16C7">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200224" w:rsidRPr="00150241">
        <w:rPr>
          <w:rFonts w:ascii="Times New Roman" w:eastAsia="Times New Roman" w:hAnsi="Times New Roman" w:cs="Times New Roman"/>
          <w:b/>
          <w:color w:val="000000"/>
          <w:sz w:val="24"/>
          <w:szCs w:val="24"/>
        </w:rPr>
        <w:t>0</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43076CA6"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461B77">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461B77">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461B77">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CD5925">
      <w:pPr>
        <w:pStyle w:val="Heading1"/>
        <w:numPr>
          <w:ilvl w:val="0"/>
          <w:numId w:val="5"/>
        </w:numPr>
      </w:pPr>
      <w:bookmarkStart w:id="3" w:name="_Toc120278187"/>
      <w:bookmarkStart w:id="4" w:name="_Toc380415501"/>
      <w:r w:rsidRPr="00150241">
        <w:t>DALĪBAS NOSACĪJUMI IEPIRKUMA PROCEDŪRĀ</w:t>
      </w:r>
      <w:bookmarkEnd w:id="3"/>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CD5925">
      <w:pPr>
        <w:pStyle w:val="Heading1"/>
        <w:numPr>
          <w:ilvl w:val="0"/>
          <w:numId w:val="13"/>
        </w:numPr>
      </w:pPr>
      <w:bookmarkStart w:id="5" w:name="_Toc120278188"/>
      <w:r w:rsidRPr="00150241">
        <w:lastRenderedPageBreak/>
        <w:t>IESNIEDZAMIE DOKUMENTI:</w:t>
      </w:r>
      <w:bookmarkEnd w:id="5"/>
    </w:p>
    <w:p w14:paraId="566584BD" w14:textId="759FA7C0" w:rsidR="00E75D9B" w:rsidRPr="00CD5925" w:rsidRDefault="00E75D9B" w:rsidP="00CD5925">
      <w:pPr>
        <w:pStyle w:val="ListParagraph"/>
        <w:keepLines/>
        <w:numPr>
          <w:ilvl w:val="1"/>
          <w:numId w:val="13"/>
        </w:numPr>
        <w:tabs>
          <w:tab w:val="left" w:pos="709"/>
          <w:tab w:val="left" w:pos="851"/>
        </w:tabs>
        <w:spacing w:after="0" w:line="240" w:lineRule="auto"/>
        <w:jc w:val="both"/>
        <w:rPr>
          <w:rFonts w:ascii="Times New Roman" w:eastAsia="Times New Roman" w:hAnsi="Times New Roman" w:cs="Times New Roman"/>
          <w:bCs/>
          <w:sz w:val="24"/>
          <w:szCs w:val="24"/>
        </w:rPr>
      </w:pPr>
      <w:r w:rsidRPr="00CD5925">
        <w:rPr>
          <w:rFonts w:ascii="Times New Roman" w:eastAsia="Times New Roman" w:hAnsi="Times New Roman" w:cs="Times New Roman"/>
          <w:bCs/>
          <w:sz w:val="24"/>
          <w:szCs w:val="24"/>
        </w:rPr>
        <w:t>Piedāvājumā iekļaujamas šādas piedāvājuma dokumentu sadaļas:</w:t>
      </w:r>
    </w:p>
    <w:p w14:paraId="5625CFAE" w14:textId="77777777" w:rsidR="00CD5925" w:rsidRDefault="00E75D9B" w:rsidP="00CD5925">
      <w:pPr>
        <w:pStyle w:val="ListParagraph"/>
        <w:keepLines/>
        <w:numPr>
          <w:ilvl w:val="2"/>
          <w:numId w:val="13"/>
        </w:numPr>
        <w:tabs>
          <w:tab w:val="left" w:pos="851"/>
          <w:tab w:val="left" w:pos="993"/>
        </w:tabs>
        <w:spacing w:after="0" w:line="240" w:lineRule="auto"/>
        <w:ind w:left="426" w:firstLine="0"/>
        <w:jc w:val="both"/>
        <w:rPr>
          <w:rFonts w:ascii="Times New Roman" w:eastAsia="Times New Roman" w:hAnsi="Times New Roman" w:cs="Times New Roman"/>
          <w:bCs/>
          <w:sz w:val="24"/>
          <w:szCs w:val="24"/>
        </w:rPr>
      </w:pPr>
      <w:r w:rsidRPr="00CD5925">
        <w:rPr>
          <w:rFonts w:ascii="Times New Roman" w:eastAsia="Times New Roman" w:hAnsi="Times New Roman" w:cs="Times New Roman"/>
          <w:bCs/>
          <w:sz w:val="24"/>
          <w:szCs w:val="24"/>
        </w:rPr>
        <w:t>Pretendentu atlases dokumenti;</w:t>
      </w:r>
    </w:p>
    <w:p w14:paraId="5D7A357E" w14:textId="690A95E8" w:rsidR="00E75D9B" w:rsidRPr="00CD5925" w:rsidRDefault="00E75D9B" w:rsidP="00CD5925">
      <w:pPr>
        <w:pStyle w:val="ListParagraph"/>
        <w:keepLines/>
        <w:numPr>
          <w:ilvl w:val="2"/>
          <w:numId w:val="13"/>
        </w:numPr>
        <w:tabs>
          <w:tab w:val="left" w:pos="851"/>
          <w:tab w:val="left" w:pos="993"/>
        </w:tabs>
        <w:spacing w:after="0" w:line="240" w:lineRule="auto"/>
        <w:ind w:left="426" w:firstLine="0"/>
        <w:jc w:val="both"/>
        <w:rPr>
          <w:rFonts w:ascii="Times New Roman" w:eastAsia="Times New Roman" w:hAnsi="Times New Roman" w:cs="Times New Roman"/>
          <w:bCs/>
          <w:sz w:val="24"/>
          <w:szCs w:val="24"/>
        </w:rPr>
      </w:pPr>
      <w:r w:rsidRPr="00CD5925">
        <w:rPr>
          <w:rFonts w:ascii="Times New Roman" w:eastAsia="Times New Roman" w:hAnsi="Times New Roman" w:cs="Times New Roman"/>
          <w:bCs/>
          <w:sz w:val="24"/>
          <w:szCs w:val="24"/>
        </w:rPr>
        <w:t>Tehniskais un finanšu piedāvājums.</w:t>
      </w:r>
    </w:p>
    <w:p w14:paraId="3463114B" w14:textId="6CB95940"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7A420B04" w:rsidR="00E75D9B" w:rsidRDefault="00E75D9B" w:rsidP="00CD5925">
      <w:pPr>
        <w:pStyle w:val="Heading1"/>
      </w:pPr>
      <w:bookmarkStart w:id="6" w:name="_Toc120278189"/>
      <w:r w:rsidRPr="00150241">
        <w:t>PRETENDENTU KVALIFIKĀCIJAS PRASĪBAS</w:t>
      </w:r>
      <w:r w:rsidR="00150241">
        <w:t xml:space="preserve"> / DALĪBAS NOSACĪJUMI</w:t>
      </w:r>
      <w:r w:rsidRPr="00150241">
        <w:t xml:space="preserve"> UN ATLASES </w:t>
      </w:r>
      <w:bookmarkEnd w:id="4"/>
      <w:r w:rsidRPr="00150241">
        <w:t>DOKUMENTI</w:t>
      </w:r>
      <w:bookmarkEnd w:id="6"/>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6D7243">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6D7243">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3804C3"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6D7243">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72B47D91" w:rsidR="00000B87" w:rsidRPr="003410A3" w:rsidRDefault="00000B87" w:rsidP="00335BCF">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335BCF">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6D7243">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6D7243">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3804C3"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6D7243">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6567974C" w14:textId="77777777" w:rsidR="00000B87" w:rsidRPr="00F67A4E" w:rsidRDefault="00000B87" w:rsidP="00000B87">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 xml:space="preserve">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w:t>
            </w:r>
            <w:r w:rsidRPr="00F67A4E">
              <w:rPr>
                <w:rFonts w:ascii="Times New Roman" w:hAnsi="Times New Roman" w:cs="Times New Roman"/>
                <w:bCs/>
                <w:color w:val="000000"/>
                <w:sz w:val="24"/>
                <w:szCs w:val="24"/>
              </w:rPr>
              <w:lastRenderedPageBreak/>
              <w:t>Civillikuma ceturtās daļas “Saistību tiesības” sešpadsmito nodaļu “Sabiedrības līgums”.</w:t>
            </w:r>
          </w:p>
          <w:p w14:paraId="52243405" w14:textId="77777777" w:rsidR="00000B87" w:rsidRDefault="00000B87" w:rsidP="002758B7">
            <w:pPr>
              <w:ind w:firstLine="367"/>
              <w:jc w:val="both"/>
              <w:rPr>
                <w:rFonts w:ascii="Times New Roman" w:hAnsi="Times New Roman" w:cs="Times New Roman"/>
                <w:b/>
                <w:color w:val="000000"/>
                <w:sz w:val="24"/>
                <w:szCs w:val="24"/>
              </w:rPr>
            </w:pPr>
          </w:p>
          <w:p w14:paraId="51EC95DB" w14:textId="77777777" w:rsidR="00000B87"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p>
          <w:p w14:paraId="7C3DDDED" w14:textId="77777777" w:rsidR="00000B87" w:rsidRPr="003410A3" w:rsidRDefault="00000B87" w:rsidP="002758B7">
            <w:pPr>
              <w:jc w:val="both"/>
              <w:rPr>
                <w:rFonts w:ascii="Times New Roman" w:hAnsi="Times New Roman" w:cs="Times New Roman"/>
                <w:sz w:val="24"/>
                <w:szCs w:val="24"/>
              </w:rPr>
            </w:pPr>
          </w:p>
        </w:tc>
      </w:tr>
      <w:tr w:rsidR="00000B87" w:rsidRPr="00F67A4E" w14:paraId="6347C73E" w14:textId="77777777" w:rsidTr="006D7243">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lastRenderedPageBreak/>
              <w:t>Vienošanās protokolam jāpievieno visu personu apvienības dalībnieku personu ar pārstāvības tiesībām parakstīta pilnvara par pilnvarotās personas nozīmēšanu.</w:t>
            </w:r>
          </w:p>
        </w:tc>
      </w:tr>
      <w:tr w:rsidR="00000B87" w:rsidRPr="00953A15" w14:paraId="209E9B4E" w14:textId="77777777" w:rsidTr="006D7243">
        <w:tc>
          <w:tcPr>
            <w:tcW w:w="4340" w:type="dxa"/>
          </w:tcPr>
          <w:p w14:paraId="53B39367" w14:textId="06EE825A" w:rsidR="00000B87" w:rsidRPr="00953A15" w:rsidRDefault="00000B87" w:rsidP="00477280">
            <w:pPr>
              <w:pStyle w:val="ListParagraph"/>
              <w:numPr>
                <w:ilvl w:val="2"/>
                <w:numId w:val="9"/>
              </w:numPr>
              <w:tabs>
                <w:tab w:val="left" w:pos="313"/>
              </w:tabs>
              <w:ind w:left="29"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lastRenderedPageBreak/>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07F12574" w:rsidR="00000B87" w:rsidRPr="00953A15" w:rsidRDefault="00000B87" w:rsidP="00477280">
            <w:pPr>
              <w:pStyle w:val="ListParagraph"/>
              <w:numPr>
                <w:ilvl w:val="2"/>
                <w:numId w:val="7"/>
              </w:numPr>
              <w:ind w:left="0"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876FDE">
              <w:rPr>
                <w:rFonts w:ascii="Times New Roman" w:eastAsia="Calibri" w:hAnsi="Times New Roman" w:cs="Times New Roman"/>
                <w:b/>
                <w:bCs/>
                <w:sz w:val="24"/>
                <w:szCs w:val="24"/>
              </w:rPr>
              <w:t>2</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000B87" w:rsidRPr="00953A15" w14:paraId="6C27D7D9" w14:textId="77777777" w:rsidTr="006D7243">
        <w:tc>
          <w:tcPr>
            <w:tcW w:w="4340" w:type="dxa"/>
          </w:tcPr>
          <w:p w14:paraId="7FB8C1F2" w14:textId="4F72F053" w:rsidR="00000B87" w:rsidRDefault="00000B87" w:rsidP="00477280">
            <w:pPr>
              <w:pStyle w:val="ListParagraph"/>
              <w:numPr>
                <w:ilvl w:val="2"/>
                <w:numId w:val="9"/>
              </w:numPr>
              <w:tabs>
                <w:tab w:val="left" w:pos="171"/>
              </w:tabs>
              <w:ind w:left="0" w:firstLine="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DF54D1C" w14:textId="77777777" w:rsidR="00000B87" w:rsidRPr="00953A15" w:rsidRDefault="00000B87" w:rsidP="002758B7">
            <w:pPr>
              <w:pStyle w:val="ListParagraph"/>
              <w:tabs>
                <w:tab w:val="left" w:pos="171"/>
              </w:tabs>
              <w:ind w:left="0"/>
              <w:jc w:val="both"/>
              <w:rPr>
                <w:rFonts w:ascii="Times New Roman" w:eastAsia="Times New Roman" w:hAnsi="Times New Roman" w:cs="Times New Roman"/>
                <w:sz w:val="24"/>
                <w:szCs w:val="24"/>
                <w:lang w:eastAsia="lv-LV"/>
              </w:rPr>
            </w:pPr>
          </w:p>
          <w:p w14:paraId="769C1019" w14:textId="77777777" w:rsidR="00000B87" w:rsidRPr="00953A15" w:rsidRDefault="00000B87" w:rsidP="002758B7">
            <w:pPr>
              <w:pStyle w:val="ListParagraph"/>
              <w:tabs>
                <w:tab w:val="left" w:pos="171"/>
              </w:tabs>
              <w:ind w:left="29"/>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0C9E931" w:rsidR="00000B87" w:rsidRPr="00953A15" w:rsidRDefault="00000B87" w:rsidP="00477280">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4A650DBD" w14:textId="77777777" w:rsidR="00E75D9B" w:rsidRPr="00150241" w:rsidRDefault="00E75D9B" w:rsidP="00CD5925">
      <w:pPr>
        <w:pStyle w:val="Heading1"/>
      </w:pPr>
      <w:bookmarkStart w:id="7" w:name="_Toc120278190"/>
      <w:r w:rsidRPr="00150241">
        <w:t>TEHNISKAIS PIEDĀVĀJUMS UN FINANŠU PIEDĀVĀJUMS</w:t>
      </w:r>
      <w:bookmarkEnd w:id="7"/>
    </w:p>
    <w:p w14:paraId="21CCF77C" w14:textId="61736971" w:rsidR="00E75D9B" w:rsidRPr="00150241" w:rsidRDefault="00E75D9B" w:rsidP="00CD5925">
      <w:pPr>
        <w:numPr>
          <w:ilvl w:val="1"/>
          <w:numId w:val="13"/>
        </w:numPr>
        <w:spacing w:after="0" w:line="240" w:lineRule="auto"/>
        <w:ind w:left="993" w:hanging="567"/>
        <w:jc w:val="both"/>
        <w:rPr>
          <w:rFonts w:ascii="Times New Roman" w:hAnsi="Times New Roman" w:cs="Times New Roman"/>
          <w:b/>
          <w:bCs/>
          <w:sz w:val="24"/>
          <w:szCs w:val="24"/>
        </w:rPr>
      </w:pPr>
      <w:r w:rsidRPr="00150241">
        <w:rPr>
          <w:rFonts w:ascii="Times New Roman" w:hAnsi="Times New Roman" w:cs="Times New Roman"/>
          <w:bCs/>
          <w:sz w:val="24"/>
          <w:szCs w:val="24"/>
        </w:rPr>
        <w:t xml:space="preserve">Pretendentam jāiesniedz </w:t>
      </w:r>
      <w:r w:rsidRPr="00150241">
        <w:rPr>
          <w:rFonts w:ascii="Times New Roman" w:hAnsi="Times New Roman" w:cs="Times New Roman"/>
          <w:b/>
          <w:bCs/>
          <w:sz w:val="24"/>
          <w:szCs w:val="24"/>
        </w:rPr>
        <w:t>pieteikums</w:t>
      </w:r>
      <w:r w:rsidRPr="00150241">
        <w:rPr>
          <w:rFonts w:ascii="Times New Roman" w:hAnsi="Times New Roman" w:cs="Times New Roman"/>
          <w:bCs/>
          <w:sz w:val="24"/>
          <w:szCs w:val="24"/>
        </w:rPr>
        <w:t xml:space="preserve"> dalībai Iepirkuma procedūrā atbilstoši </w:t>
      </w:r>
      <w:r w:rsidR="004D3EC0">
        <w:rPr>
          <w:rFonts w:ascii="Times New Roman" w:hAnsi="Times New Roman" w:cs="Times New Roman"/>
          <w:b/>
          <w:sz w:val="24"/>
          <w:szCs w:val="24"/>
        </w:rPr>
        <w:t>1</w:t>
      </w:r>
      <w:r w:rsidR="008D7823" w:rsidRPr="00461B77">
        <w:rPr>
          <w:rFonts w:ascii="Times New Roman" w:hAnsi="Times New Roman" w:cs="Times New Roman"/>
          <w:b/>
          <w:sz w:val="24"/>
          <w:szCs w:val="24"/>
        </w:rPr>
        <w:t>.pielikumā</w:t>
      </w:r>
      <w:r w:rsidRPr="00150241">
        <w:rPr>
          <w:rFonts w:ascii="Times New Roman" w:hAnsi="Times New Roman" w:cs="Times New Roman"/>
          <w:bCs/>
          <w:sz w:val="24"/>
          <w:szCs w:val="24"/>
        </w:rPr>
        <w:t xml:space="preserve"> pievienotajai veidnei.</w:t>
      </w:r>
    </w:p>
    <w:p w14:paraId="41A78422" w14:textId="77777777" w:rsidR="00E75D9B" w:rsidRPr="00150241" w:rsidRDefault="00E75D9B" w:rsidP="00CD5925">
      <w:pPr>
        <w:pStyle w:val="Heading1"/>
      </w:pPr>
      <w:bookmarkStart w:id="8" w:name="_Toc120278191"/>
      <w:r w:rsidRPr="00150241">
        <w:lastRenderedPageBreak/>
        <w:t>PIEDĀVĀJUMA SAGATAVOŠANA UN NOFORMĒŠANA</w:t>
      </w:r>
      <w:bookmarkEnd w:id="8"/>
    </w:p>
    <w:p w14:paraId="5284E7C3" w14:textId="2D68159D" w:rsidR="00E75D9B" w:rsidRPr="00150241" w:rsidRDefault="00E75D9B" w:rsidP="00CD5925">
      <w:pPr>
        <w:pStyle w:val="ListParagraph"/>
        <w:numPr>
          <w:ilvl w:val="1"/>
          <w:numId w:val="13"/>
        </w:numPr>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Jebkurš piegādātājs var iesniegt kā Pretendents </w:t>
      </w:r>
      <w:r w:rsidR="00A40353">
        <w:rPr>
          <w:rFonts w:ascii="Times New Roman" w:hAnsi="Times New Roman" w:cs="Times New Roman"/>
          <w:sz w:val="24"/>
          <w:szCs w:val="24"/>
          <w:lang w:eastAsia="x-none"/>
        </w:rPr>
        <w:t xml:space="preserve">piedāvājumu </w:t>
      </w:r>
      <w:r w:rsidRPr="00150241">
        <w:rPr>
          <w:rFonts w:ascii="Times New Roman" w:hAnsi="Times New Roman" w:cs="Times New Roman"/>
          <w:sz w:val="24"/>
          <w:szCs w:val="24"/>
          <w:lang w:eastAsia="x-none"/>
        </w:rPr>
        <w:t>tikai 1 (vienā) variantā</w:t>
      </w:r>
      <w:r w:rsidR="00A40353">
        <w:rPr>
          <w:rFonts w:ascii="Times New Roman" w:hAnsi="Times New Roman" w:cs="Times New Roman"/>
          <w:sz w:val="24"/>
          <w:szCs w:val="24"/>
          <w:lang w:eastAsia="x-none"/>
        </w:rPr>
        <w:t xml:space="preserve"> </w:t>
      </w:r>
      <w:r w:rsidR="00A40353" w:rsidRPr="00A40353">
        <w:rPr>
          <w:rFonts w:ascii="Times New Roman" w:hAnsi="Times New Roman" w:cs="Times New Roman"/>
          <w:sz w:val="24"/>
          <w:szCs w:val="24"/>
          <w:lang w:eastAsia="x-none"/>
        </w:rPr>
        <w:t>par vienu daļu, vairākām vai visām daļām</w:t>
      </w:r>
      <w:r w:rsidRPr="00150241">
        <w:rPr>
          <w:rFonts w:ascii="Times New Roman" w:hAnsi="Times New Roman" w:cs="Times New Roman"/>
          <w:sz w:val="24"/>
          <w:szCs w:val="24"/>
          <w:lang w:eastAsia="x-none"/>
        </w:rPr>
        <w:t>. Pretendents, kas iesniedzis piedāvājumu vairākos variantos, tiks izslēgts no dalības iepirkuma procedūrā.</w:t>
      </w:r>
    </w:p>
    <w:p w14:paraId="4FBC14C2"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CD5925">
      <w:pPr>
        <w:pStyle w:val="ListParagraph"/>
        <w:numPr>
          <w:ilvl w:val="1"/>
          <w:numId w:val="13"/>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CD5925">
      <w:pPr>
        <w:pStyle w:val="ListParagraph"/>
        <w:numPr>
          <w:ilvl w:val="1"/>
          <w:numId w:val="13"/>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CD5925">
      <w:pPr>
        <w:pStyle w:val="ListParagraph"/>
        <w:numPr>
          <w:ilvl w:val="1"/>
          <w:numId w:val="13"/>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CD5925">
      <w:pPr>
        <w:pStyle w:val="ListParagraph"/>
        <w:numPr>
          <w:ilvl w:val="1"/>
          <w:numId w:val="13"/>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150241">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5151C4">
      <w:pPr>
        <w:pStyle w:val="ListParagraph"/>
        <w:numPr>
          <w:ilvl w:val="1"/>
          <w:numId w:val="13"/>
        </w:numPr>
        <w:tabs>
          <w:tab w:val="left" w:pos="851"/>
        </w:tabs>
        <w:spacing w:after="0"/>
        <w:ind w:left="851"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438B4304" w14:textId="77777777" w:rsidR="00E75D9B" w:rsidRPr="00150241" w:rsidRDefault="00E75D9B" w:rsidP="00CD5925">
      <w:pPr>
        <w:pStyle w:val="Heading1"/>
      </w:pPr>
      <w:bookmarkStart w:id="9" w:name="_Toc120278192"/>
      <w:r w:rsidRPr="00150241">
        <w:t>PIEDĀVĀJUMA IESNIEGŠANA UN ATVĒRŠANA</w:t>
      </w:r>
      <w:bookmarkEnd w:id="9"/>
    </w:p>
    <w:p w14:paraId="5096CA24" w14:textId="11488E53" w:rsidR="00E75D9B" w:rsidRPr="00150241" w:rsidRDefault="00E75D9B" w:rsidP="00CD5925">
      <w:pPr>
        <w:numPr>
          <w:ilvl w:val="1"/>
          <w:numId w:val="13"/>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līdz 202</w:t>
      </w:r>
      <w:r w:rsidR="00461B77">
        <w:rPr>
          <w:rFonts w:ascii="Times New Roman" w:hAnsi="Times New Roman" w:cs="Times New Roman"/>
          <w:b/>
          <w:bCs/>
          <w:sz w:val="24"/>
          <w:szCs w:val="24"/>
        </w:rPr>
        <w:t>2</w:t>
      </w:r>
      <w:r w:rsidR="002830CF">
        <w:rPr>
          <w:rFonts w:ascii="Times New Roman" w:hAnsi="Times New Roman" w:cs="Times New Roman"/>
          <w:b/>
          <w:bCs/>
          <w:sz w:val="24"/>
          <w:szCs w:val="24"/>
        </w:rPr>
        <w:t xml:space="preserve">.gada </w:t>
      </w:r>
      <w:r w:rsidR="00D430DD">
        <w:rPr>
          <w:rFonts w:ascii="Times New Roman" w:hAnsi="Times New Roman" w:cs="Times New Roman"/>
          <w:b/>
          <w:bCs/>
          <w:sz w:val="24"/>
          <w:szCs w:val="24"/>
        </w:rPr>
        <w:t>20</w:t>
      </w:r>
      <w:r w:rsidR="00924C2D">
        <w:rPr>
          <w:rFonts w:ascii="Times New Roman" w:hAnsi="Times New Roman" w:cs="Times New Roman"/>
          <w:b/>
          <w:bCs/>
          <w:sz w:val="24"/>
          <w:szCs w:val="24"/>
        </w:rPr>
        <w:t>.decembrim</w:t>
      </w:r>
      <w:r w:rsidRPr="00150241">
        <w:rPr>
          <w:rFonts w:ascii="Times New Roman" w:hAnsi="Times New Roman" w:cs="Times New Roman"/>
          <w:b/>
          <w:bCs/>
          <w:sz w:val="24"/>
          <w:szCs w:val="24"/>
        </w:rPr>
        <w:t xml:space="preserve"> plkst. 1</w:t>
      </w:r>
      <w:r w:rsidR="00200224" w:rsidRPr="00150241">
        <w:rPr>
          <w:rFonts w:ascii="Times New Roman" w:hAnsi="Times New Roman" w:cs="Times New Roman"/>
          <w:b/>
          <w:bCs/>
          <w:sz w:val="24"/>
          <w:szCs w:val="24"/>
        </w:rPr>
        <w:t>0</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43D5B12D" w14:textId="77777777" w:rsidR="00E75D9B" w:rsidRPr="00150241" w:rsidRDefault="00E75D9B" w:rsidP="00CD5925">
      <w:pPr>
        <w:numPr>
          <w:ilvl w:val="2"/>
          <w:numId w:val="13"/>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7FAECFA" w14:textId="77777777" w:rsidR="00E75D9B" w:rsidRPr="00150241" w:rsidRDefault="00E75D9B" w:rsidP="00CD5925">
      <w:pPr>
        <w:numPr>
          <w:ilvl w:val="2"/>
          <w:numId w:val="13"/>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CD5925">
      <w:pPr>
        <w:numPr>
          <w:ilvl w:val="1"/>
          <w:numId w:val="13"/>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CD5925">
      <w:pPr>
        <w:numPr>
          <w:ilvl w:val="1"/>
          <w:numId w:val="13"/>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3484D45C" w:rsidR="00E75D9B" w:rsidRPr="00150241" w:rsidRDefault="00E75D9B" w:rsidP="00CD5925">
      <w:pPr>
        <w:numPr>
          <w:ilvl w:val="1"/>
          <w:numId w:val="13"/>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202</w:t>
      </w:r>
      <w:r w:rsidR="00461B77">
        <w:rPr>
          <w:rFonts w:ascii="Times New Roman" w:hAnsi="Times New Roman" w:cs="Times New Roman"/>
          <w:b/>
          <w:sz w:val="24"/>
          <w:szCs w:val="24"/>
        </w:rPr>
        <w:t>2</w:t>
      </w:r>
      <w:r w:rsidRPr="00150241">
        <w:rPr>
          <w:rFonts w:ascii="Times New Roman" w:hAnsi="Times New Roman" w:cs="Times New Roman"/>
          <w:b/>
          <w:sz w:val="24"/>
          <w:szCs w:val="24"/>
        </w:rPr>
        <w:t xml:space="preserve">.gada </w:t>
      </w:r>
      <w:r w:rsidR="00D430DD">
        <w:rPr>
          <w:rFonts w:ascii="Times New Roman" w:hAnsi="Times New Roman" w:cs="Times New Roman"/>
          <w:b/>
          <w:sz w:val="24"/>
          <w:szCs w:val="24"/>
        </w:rPr>
        <w:t>20</w:t>
      </w:r>
      <w:r w:rsidR="00924C2D">
        <w:rPr>
          <w:rFonts w:ascii="Times New Roman" w:hAnsi="Times New Roman" w:cs="Times New Roman"/>
          <w:b/>
          <w:sz w:val="24"/>
          <w:szCs w:val="24"/>
        </w:rPr>
        <w:t>.decembrī</w:t>
      </w:r>
      <w:r w:rsidRPr="00150241">
        <w:rPr>
          <w:rFonts w:ascii="Times New Roman" w:hAnsi="Times New Roman" w:cs="Times New Roman"/>
          <w:b/>
          <w:sz w:val="24"/>
          <w:szCs w:val="24"/>
        </w:rPr>
        <w:t xml:space="preserve"> plkst. 1</w:t>
      </w:r>
      <w:r w:rsidR="00200224" w:rsidRPr="00150241">
        <w:rPr>
          <w:rFonts w:ascii="Times New Roman" w:hAnsi="Times New Roman" w:cs="Times New Roman"/>
          <w:b/>
          <w:sz w:val="24"/>
          <w:szCs w:val="24"/>
        </w:rPr>
        <w:t>0</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CD5925">
      <w:pPr>
        <w:numPr>
          <w:ilvl w:val="1"/>
          <w:numId w:val="13"/>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CD5925">
      <w:pPr>
        <w:numPr>
          <w:ilvl w:val="2"/>
          <w:numId w:val="13"/>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CD5925">
      <w:pPr>
        <w:numPr>
          <w:ilvl w:val="2"/>
          <w:numId w:val="13"/>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CD5925">
      <w:pPr>
        <w:numPr>
          <w:ilvl w:val="1"/>
          <w:numId w:val="13"/>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CD5925">
      <w:pPr>
        <w:numPr>
          <w:ilvl w:val="1"/>
          <w:numId w:val="13"/>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lastRenderedPageBreak/>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CD5925">
      <w:pPr>
        <w:numPr>
          <w:ilvl w:val="1"/>
          <w:numId w:val="13"/>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CD5925">
      <w:pPr>
        <w:numPr>
          <w:ilvl w:val="1"/>
          <w:numId w:val="13"/>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CD5925">
      <w:pPr>
        <w:pStyle w:val="Heading1"/>
      </w:pPr>
      <w:bookmarkStart w:id="10" w:name="_Toc120278193"/>
      <w:r w:rsidRPr="00150241">
        <w:t>CITI NOTEIKUMI</w:t>
      </w:r>
      <w:bookmarkEnd w:id="10"/>
    </w:p>
    <w:p w14:paraId="5955AA34"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CD5925">
      <w:pPr>
        <w:pStyle w:val="naisf"/>
        <w:numPr>
          <w:ilvl w:val="1"/>
          <w:numId w:val="13"/>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2542BCBE" w:rsidR="00E75D9B" w:rsidRPr="00150241" w:rsidRDefault="00E75D9B" w:rsidP="00CD5925">
      <w:pPr>
        <w:pStyle w:val="naisf"/>
        <w:numPr>
          <w:ilvl w:val="1"/>
          <w:numId w:val="13"/>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CD5925">
        <w:rPr>
          <w:lang w:val="lv-LV" w:eastAsia="x-none"/>
        </w:rPr>
        <w:t>Darba uzdevums</w:t>
      </w:r>
      <w:r w:rsidR="006B1917">
        <w:rPr>
          <w:lang w:val="lv-LV" w:eastAsia="x-none"/>
        </w:rPr>
        <w:t xml:space="preserve"> ir sagatavot</w:t>
      </w:r>
      <w:r w:rsidR="00CD5925">
        <w:rPr>
          <w:lang w:val="lv-LV" w:eastAsia="x-none"/>
        </w:rPr>
        <w:t>s</w:t>
      </w:r>
      <w:r w:rsidRPr="00150241">
        <w:rPr>
          <w:lang w:val="lv-LV" w:eastAsia="x-none"/>
        </w:rPr>
        <w:t xml:space="preserve"> detalizēti un citiem kritērijiem nav būtiskas nozīmes piedāvājuma izvēlē.</w:t>
      </w:r>
    </w:p>
    <w:p w14:paraId="0A680A1F" w14:textId="06B60851" w:rsidR="00E75D9B" w:rsidRDefault="00E75D9B" w:rsidP="00CD5925">
      <w:pPr>
        <w:pStyle w:val="naisf"/>
        <w:numPr>
          <w:ilvl w:val="1"/>
          <w:numId w:val="13"/>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saimnieciski visizdevīgākais piedāvājums – ar viszemāko līgumcenu</w:t>
      </w:r>
      <w:r w:rsidR="007F1948">
        <w:rPr>
          <w:lang w:val="lv-LV" w:eastAsia="x-none"/>
        </w:rPr>
        <w:t xml:space="preserve"> katrā Iepirkuma daļā atsevišķi</w:t>
      </w:r>
      <w:r w:rsidRPr="00150241">
        <w:rPr>
          <w:lang w:val="lv-LV" w:eastAsia="x-none"/>
        </w:rPr>
        <w:t>.</w:t>
      </w:r>
    </w:p>
    <w:p w14:paraId="1069C6B3" w14:textId="48E57C95" w:rsidR="004D3EC0" w:rsidRPr="00150241" w:rsidRDefault="004D3EC0" w:rsidP="004D3EC0">
      <w:pPr>
        <w:pStyle w:val="naisf"/>
        <w:spacing w:before="60" w:beforeAutospacing="0" w:after="60" w:afterAutospacing="0"/>
        <w:ind w:left="1134"/>
        <w:rPr>
          <w:lang w:val="lv-LV"/>
        </w:rPr>
      </w:pPr>
      <w:r w:rsidRPr="004D3EC0">
        <w:rPr>
          <w:lang w:val="lv-LV"/>
        </w:rPr>
        <w:t>Izvērtējot pretendentu piedāvājumus, Komisija atzīs par uzvarētāju piedāvājumu ar zemāko cenu</w:t>
      </w:r>
      <w:r>
        <w:rPr>
          <w:lang w:val="lv-LV"/>
        </w:rPr>
        <w:t xml:space="preserve"> katrā Iepirkuma daļā atsevišķi</w:t>
      </w:r>
      <w:r w:rsidRPr="004D3EC0">
        <w:rPr>
          <w:lang w:val="lv-LV"/>
        </w:rPr>
        <w:t xml:space="preserve">, ja Pretendents būs izturējis Pretendentu atlasi un izpildījis visas Iepirkuma nolikuma prasības attiecībā uz piedāvājuma dokumentu sagatavošanu. Ja Pasūtītājs, pirms pieņem lēmumu par Iepirkuma līguma slēgšanas tiesību piešķiršanu konstatē, ka divu vai vairāku pretendentu piedāvātā līgumcena ir vienāda, Iepirkumu komisija </w:t>
      </w:r>
      <w:r w:rsidRPr="004D3EC0">
        <w:rPr>
          <w:lang w:val="lv-LV"/>
        </w:rPr>
        <w:lastRenderedPageBreak/>
        <w:t>līguma slēgšanas tiesības piešķirs tam Pretendentam, kurš piedāvājumu būs iesniedzis pirmais.</w:t>
      </w:r>
    </w:p>
    <w:p w14:paraId="54590706"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CD5925">
      <w:pPr>
        <w:pStyle w:val="naisf"/>
        <w:numPr>
          <w:ilvl w:val="1"/>
          <w:numId w:val="13"/>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CD5925">
      <w:pPr>
        <w:pStyle w:val="naisf"/>
        <w:numPr>
          <w:ilvl w:val="1"/>
          <w:numId w:val="13"/>
        </w:numPr>
        <w:spacing w:before="0" w:beforeAutospacing="0" w:after="0" w:afterAutospacing="0"/>
        <w:ind w:left="1134" w:hanging="850"/>
        <w:rPr>
          <w:lang w:val="lv-LV"/>
        </w:rPr>
      </w:pPr>
      <w:r w:rsidRPr="00150241">
        <w:rPr>
          <w:lang w:val="lv-LV"/>
        </w:rPr>
        <w:lastRenderedPageBreak/>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77777777" w:rsidR="00E75D9B" w:rsidRPr="00150241" w:rsidRDefault="00E75D9B" w:rsidP="00CD5925">
      <w:pPr>
        <w:pStyle w:val="naisf"/>
        <w:numPr>
          <w:ilvl w:val="1"/>
          <w:numId w:val="13"/>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34477292" w14:textId="77777777" w:rsidR="00E75D9B" w:rsidRPr="00150241" w:rsidRDefault="00E75D9B" w:rsidP="00CD5925">
      <w:pPr>
        <w:pStyle w:val="Heading1"/>
      </w:pPr>
      <w:bookmarkStart w:id="11" w:name="_Toc120278194"/>
      <w:r w:rsidRPr="00150241">
        <w:t>IEPIRKUMA LĪGUMA SLĒGŠANA</w:t>
      </w:r>
      <w:bookmarkEnd w:id="11"/>
    </w:p>
    <w:p w14:paraId="34032421" w14:textId="77777777" w:rsidR="00E75D9B" w:rsidRPr="00150241" w:rsidRDefault="00E75D9B" w:rsidP="00CD5925">
      <w:pPr>
        <w:numPr>
          <w:ilvl w:val="1"/>
          <w:numId w:val="13"/>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Līgums jānoslēdz 5 (piecu) darba dienu laikā no Pasūtītāja rakstiska pieprasījuma saņemšanas.</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88D38" w14:textId="77777777" w:rsidR="002457AC" w:rsidRDefault="002457AC">
      <w:pPr>
        <w:spacing w:after="0" w:line="240" w:lineRule="auto"/>
      </w:pPr>
      <w:r>
        <w:separator/>
      </w:r>
    </w:p>
  </w:endnote>
  <w:endnote w:type="continuationSeparator" w:id="0">
    <w:p w14:paraId="313B242A" w14:textId="77777777" w:rsidR="002457AC" w:rsidRDefault="00245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929C" w14:textId="77777777" w:rsidR="002457AC" w:rsidRDefault="002457AC">
      <w:pPr>
        <w:spacing w:after="0" w:line="240" w:lineRule="auto"/>
      </w:pPr>
      <w:r>
        <w:separator/>
      </w:r>
    </w:p>
  </w:footnote>
  <w:footnote w:type="continuationSeparator" w:id="0">
    <w:p w14:paraId="6A46E3D7" w14:textId="77777777" w:rsidR="002457AC" w:rsidRDefault="002457AC">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5623E05"/>
    <w:multiLevelType w:val="multilevel"/>
    <w:tmpl w:val="C60EB4F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55" w:hanging="720"/>
      </w:pPr>
      <w:rPr>
        <w:rFonts w:hint="default"/>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2A692A85"/>
    <w:multiLevelType w:val="multilevel"/>
    <w:tmpl w:val="F5DE0D06"/>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901741A"/>
    <w:multiLevelType w:val="hybridMultilevel"/>
    <w:tmpl w:val="ED50D4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F06308"/>
    <w:multiLevelType w:val="multilevel"/>
    <w:tmpl w:val="C660F704"/>
    <w:lvl w:ilvl="0">
      <w:start w:val="3"/>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0E6E5A"/>
    <w:multiLevelType w:val="multilevel"/>
    <w:tmpl w:val="CCB8372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531731"/>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47267368">
    <w:abstractNumId w:val="11"/>
  </w:num>
  <w:num w:numId="2" w16cid:durableId="1869219863">
    <w:abstractNumId w:val="8"/>
  </w:num>
  <w:num w:numId="3" w16cid:durableId="729811077">
    <w:abstractNumId w:val="3"/>
  </w:num>
  <w:num w:numId="4" w16cid:durableId="135530684">
    <w:abstractNumId w:val="7"/>
  </w:num>
  <w:num w:numId="5" w16cid:durableId="1484395179">
    <w:abstractNumId w:val="0"/>
  </w:num>
  <w:num w:numId="6" w16cid:durableId="1780491780">
    <w:abstractNumId w:val="5"/>
  </w:num>
  <w:num w:numId="7" w16cid:durableId="1247686269">
    <w:abstractNumId w:val="4"/>
  </w:num>
  <w:num w:numId="8" w16cid:durableId="189107246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123766">
    <w:abstractNumId w:val="9"/>
  </w:num>
  <w:num w:numId="10" w16cid:durableId="1219122025">
    <w:abstractNumId w:val="2"/>
  </w:num>
  <w:num w:numId="11" w16cid:durableId="2037460763">
    <w:abstractNumId w:val="10"/>
  </w:num>
  <w:num w:numId="12" w16cid:durableId="1801679913">
    <w:abstractNumId w:val="1"/>
  </w:num>
  <w:num w:numId="13" w16cid:durableId="113764899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368160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1788B"/>
    <w:rsid w:val="00017FC2"/>
    <w:rsid w:val="00020872"/>
    <w:rsid w:val="0002681A"/>
    <w:rsid w:val="00026B82"/>
    <w:rsid w:val="0003104F"/>
    <w:rsid w:val="00033321"/>
    <w:rsid w:val="00036FBE"/>
    <w:rsid w:val="00043696"/>
    <w:rsid w:val="00044E26"/>
    <w:rsid w:val="00045442"/>
    <w:rsid w:val="000456EE"/>
    <w:rsid w:val="00046191"/>
    <w:rsid w:val="000612E3"/>
    <w:rsid w:val="0006438B"/>
    <w:rsid w:val="00075E62"/>
    <w:rsid w:val="00076843"/>
    <w:rsid w:val="00080F2B"/>
    <w:rsid w:val="0009125E"/>
    <w:rsid w:val="0009170E"/>
    <w:rsid w:val="00092939"/>
    <w:rsid w:val="00096287"/>
    <w:rsid w:val="000A0737"/>
    <w:rsid w:val="000A2D34"/>
    <w:rsid w:val="000A3186"/>
    <w:rsid w:val="000B0447"/>
    <w:rsid w:val="000B44E3"/>
    <w:rsid w:val="000C0C3F"/>
    <w:rsid w:val="000C30DF"/>
    <w:rsid w:val="000C354A"/>
    <w:rsid w:val="000C54C7"/>
    <w:rsid w:val="000C5B15"/>
    <w:rsid w:val="000C7642"/>
    <w:rsid w:val="000D0503"/>
    <w:rsid w:val="000D248C"/>
    <w:rsid w:val="000D26B2"/>
    <w:rsid w:val="000D5B31"/>
    <w:rsid w:val="000D7976"/>
    <w:rsid w:val="000F0C11"/>
    <w:rsid w:val="000F0D0F"/>
    <w:rsid w:val="000F0DFB"/>
    <w:rsid w:val="000F30DF"/>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6773"/>
    <w:rsid w:val="00150241"/>
    <w:rsid w:val="0015237F"/>
    <w:rsid w:val="00152687"/>
    <w:rsid w:val="00156315"/>
    <w:rsid w:val="00156E67"/>
    <w:rsid w:val="001639D0"/>
    <w:rsid w:val="00165266"/>
    <w:rsid w:val="001717CF"/>
    <w:rsid w:val="00182047"/>
    <w:rsid w:val="001902DE"/>
    <w:rsid w:val="00195B3F"/>
    <w:rsid w:val="001A09F0"/>
    <w:rsid w:val="001A3E0D"/>
    <w:rsid w:val="001A484B"/>
    <w:rsid w:val="001A4C2B"/>
    <w:rsid w:val="001A4EAA"/>
    <w:rsid w:val="001B41D8"/>
    <w:rsid w:val="001B4F4D"/>
    <w:rsid w:val="001B4F80"/>
    <w:rsid w:val="001C7E80"/>
    <w:rsid w:val="001D0CD1"/>
    <w:rsid w:val="001D2183"/>
    <w:rsid w:val="001E3DE4"/>
    <w:rsid w:val="001E59D4"/>
    <w:rsid w:val="001E6397"/>
    <w:rsid w:val="001E7693"/>
    <w:rsid w:val="001E7996"/>
    <w:rsid w:val="001F0BD4"/>
    <w:rsid w:val="001F193D"/>
    <w:rsid w:val="00200224"/>
    <w:rsid w:val="00200D01"/>
    <w:rsid w:val="00201467"/>
    <w:rsid w:val="00202AD0"/>
    <w:rsid w:val="002054BF"/>
    <w:rsid w:val="00207573"/>
    <w:rsid w:val="002077CA"/>
    <w:rsid w:val="00210051"/>
    <w:rsid w:val="00211BA9"/>
    <w:rsid w:val="002120F7"/>
    <w:rsid w:val="00212EA9"/>
    <w:rsid w:val="00214A52"/>
    <w:rsid w:val="00221C9A"/>
    <w:rsid w:val="00226FBC"/>
    <w:rsid w:val="00231CE1"/>
    <w:rsid w:val="00232355"/>
    <w:rsid w:val="002457AC"/>
    <w:rsid w:val="0024750F"/>
    <w:rsid w:val="002504A1"/>
    <w:rsid w:val="00252163"/>
    <w:rsid w:val="00255511"/>
    <w:rsid w:val="00276BD7"/>
    <w:rsid w:val="00280143"/>
    <w:rsid w:val="002802F2"/>
    <w:rsid w:val="002830CF"/>
    <w:rsid w:val="00285180"/>
    <w:rsid w:val="0028534A"/>
    <w:rsid w:val="002861F5"/>
    <w:rsid w:val="00290173"/>
    <w:rsid w:val="0029110E"/>
    <w:rsid w:val="0029497C"/>
    <w:rsid w:val="00294BAB"/>
    <w:rsid w:val="002971AC"/>
    <w:rsid w:val="002A363D"/>
    <w:rsid w:val="002B04F2"/>
    <w:rsid w:val="002B208F"/>
    <w:rsid w:val="002C4336"/>
    <w:rsid w:val="002D6FCA"/>
    <w:rsid w:val="002E2C73"/>
    <w:rsid w:val="002E3F5C"/>
    <w:rsid w:val="002E64EF"/>
    <w:rsid w:val="002E749B"/>
    <w:rsid w:val="002E7F4C"/>
    <w:rsid w:val="002F573D"/>
    <w:rsid w:val="00300303"/>
    <w:rsid w:val="003022D0"/>
    <w:rsid w:val="0030238A"/>
    <w:rsid w:val="00306AA2"/>
    <w:rsid w:val="00332181"/>
    <w:rsid w:val="003341E8"/>
    <w:rsid w:val="00335BCF"/>
    <w:rsid w:val="00336AA4"/>
    <w:rsid w:val="00351356"/>
    <w:rsid w:val="00353F53"/>
    <w:rsid w:val="003548BE"/>
    <w:rsid w:val="00354FD8"/>
    <w:rsid w:val="0035589E"/>
    <w:rsid w:val="00360E94"/>
    <w:rsid w:val="00375255"/>
    <w:rsid w:val="003804C3"/>
    <w:rsid w:val="00382C29"/>
    <w:rsid w:val="00384627"/>
    <w:rsid w:val="00393DD7"/>
    <w:rsid w:val="003974C4"/>
    <w:rsid w:val="003A1053"/>
    <w:rsid w:val="003A202B"/>
    <w:rsid w:val="003A23F0"/>
    <w:rsid w:val="003A35B6"/>
    <w:rsid w:val="003A679B"/>
    <w:rsid w:val="003A6A02"/>
    <w:rsid w:val="003A7F53"/>
    <w:rsid w:val="003B3A0A"/>
    <w:rsid w:val="003B5CD2"/>
    <w:rsid w:val="003B6E29"/>
    <w:rsid w:val="003C1027"/>
    <w:rsid w:val="003C4C93"/>
    <w:rsid w:val="003C4FAA"/>
    <w:rsid w:val="003C721B"/>
    <w:rsid w:val="003C7635"/>
    <w:rsid w:val="003D0A85"/>
    <w:rsid w:val="003D1967"/>
    <w:rsid w:val="003E0625"/>
    <w:rsid w:val="003E2D7B"/>
    <w:rsid w:val="003E75FD"/>
    <w:rsid w:val="0041112A"/>
    <w:rsid w:val="0041165D"/>
    <w:rsid w:val="00415502"/>
    <w:rsid w:val="00415909"/>
    <w:rsid w:val="004211D9"/>
    <w:rsid w:val="00421E94"/>
    <w:rsid w:val="0042304B"/>
    <w:rsid w:val="00433672"/>
    <w:rsid w:val="00441915"/>
    <w:rsid w:val="00443F40"/>
    <w:rsid w:val="00455CB8"/>
    <w:rsid w:val="00457E44"/>
    <w:rsid w:val="00461B77"/>
    <w:rsid w:val="004677CD"/>
    <w:rsid w:val="00467A54"/>
    <w:rsid w:val="00472B9F"/>
    <w:rsid w:val="00473CA8"/>
    <w:rsid w:val="004756D7"/>
    <w:rsid w:val="00477280"/>
    <w:rsid w:val="00480B7D"/>
    <w:rsid w:val="00483CC7"/>
    <w:rsid w:val="004844E4"/>
    <w:rsid w:val="00487660"/>
    <w:rsid w:val="00492B43"/>
    <w:rsid w:val="00494926"/>
    <w:rsid w:val="0049639C"/>
    <w:rsid w:val="004A0143"/>
    <w:rsid w:val="004A1221"/>
    <w:rsid w:val="004A7EA8"/>
    <w:rsid w:val="004B4BEF"/>
    <w:rsid w:val="004B61D5"/>
    <w:rsid w:val="004C0892"/>
    <w:rsid w:val="004C20B6"/>
    <w:rsid w:val="004C304F"/>
    <w:rsid w:val="004D06B5"/>
    <w:rsid w:val="004D3EC0"/>
    <w:rsid w:val="004D4272"/>
    <w:rsid w:val="004D5CB0"/>
    <w:rsid w:val="004E230F"/>
    <w:rsid w:val="004E2623"/>
    <w:rsid w:val="004E406F"/>
    <w:rsid w:val="004E59DA"/>
    <w:rsid w:val="004E6213"/>
    <w:rsid w:val="004F0B0A"/>
    <w:rsid w:val="004F21EA"/>
    <w:rsid w:val="00501A09"/>
    <w:rsid w:val="00503EDF"/>
    <w:rsid w:val="00506447"/>
    <w:rsid w:val="00511469"/>
    <w:rsid w:val="00512219"/>
    <w:rsid w:val="00513487"/>
    <w:rsid w:val="005151C4"/>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2429"/>
    <w:rsid w:val="005C5220"/>
    <w:rsid w:val="005C7A28"/>
    <w:rsid w:val="005D6B12"/>
    <w:rsid w:val="005D7E5C"/>
    <w:rsid w:val="005F1EB1"/>
    <w:rsid w:val="006006AF"/>
    <w:rsid w:val="00601158"/>
    <w:rsid w:val="00602A04"/>
    <w:rsid w:val="00603084"/>
    <w:rsid w:val="00606A2C"/>
    <w:rsid w:val="00612AC2"/>
    <w:rsid w:val="00612C15"/>
    <w:rsid w:val="00625A5C"/>
    <w:rsid w:val="00627F69"/>
    <w:rsid w:val="00630568"/>
    <w:rsid w:val="00634C8B"/>
    <w:rsid w:val="006468D4"/>
    <w:rsid w:val="00655A17"/>
    <w:rsid w:val="00660D47"/>
    <w:rsid w:val="00666768"/>
    <w:rsid w:val="00667006"/>
    <w:rsid w:val="00667F2F"/>
    <w:rsid w:val="006709AE"/>
    <w:rsid w:val="00671F2E"/>
    <w:rsid w:val="00674039"/>
    <w:rsid w:val="00676143"/>
    <w:rsid w:val="00677D33"/>
    <w:rsid w:val="00681D54"/>
    <w:rsid w:val="00681E73"/>
    <w:rsid w:val="0069030D"/>
    <w:rsid w:val="00694DA6"/>
    <w:rsid w:val="006A16C7"/>
    <w:rsid w:val="006A2404"/>
    <w:rsid w:val="006A2610"/>
    <w:rsid w:val="006B021B"/>
    <w:rsid w:val="006B1917"/>
    <w:rsid w:val="006B6E71"/>
    <w:rsid w:val="006B7663"/>
    <w:rsid w:val="006C1BF1"/>
    <w:rsid w:val="006C266D"/>
    <w:rsid w:val="006C340E"/>
    <w:rsid w:val="006C3E39"/>
    <w:rsid w:val="006C73E5"/>
    <w:rsid w:val="006D0DE2"/>
    <w:rsid w:val="006D4B1E"/>
    <w:rsid w:val="006D7243"/>
    <w:rsid w:val="006E01A6"/>
    <w:rsid w:val="006E7931"/>
    <w:rsid w:val="006F21B3"/>
    <w:rsid w:val="006F2894"/>
    <w:rsid w:val="006F423E"/>
    <w:rsid w:val="006F68FF"/>
    <w:rsid w:val="00700D63"/>
    <w:rsid w:val="0070175E"/>
    <w:rsid w:val="007052B4"/>
    <w:rsid w:val="007102B5"/>
    <w:rsid w:val="007147BA"/>
    <w:rsid w:val="00716F5D"/>
    <w:rsid w:val="00722314"/>
    <w:rsid w:val="00722598"/>
    <w:rsid w:val="0072449F"/>
    <w:rsid w:val="00724647"/>
    <w:rsid w:val="00731B95"/>
    <w:rsid w:val="007350DC"/>
    <w:rsid w:val="007379BF"/>
    <w:rsid w:val="00742D80"/>
    <w:rsid w:val="00743931"/>
    <w:rsid w:val="00744B72"/>
    <w:rsid w:val="00752CA0"/>
    <w:rsid w:val="00755459"/>
    <w:rsid w:val="007559CC"/>
    <w:rsid w:val="00761B56"/>
    <w:rsid w:val="00761E2B"/>
    <w:rsid w:val="0077343C"/>
    <w:rsid w:val="00774428"/>
    <w:rsid w:val="00781716"/>
    <w:rsid w:val="00781782"/>
    <w:rsid w:val="00784044"/>
    <w:rsid w:val="00785017"/>
    <w:rsid w:val="00787C64"/>
    <w:rsid w:val="00792076"/>
    <w:rsid w:val="007956FC"/>
    <w:rsid w:val="007A45A4"/>
    <w:rsid w:val="007A6C5F"/>
    <w:rsid w:val="007A7CD9"/>
    <w:rsid w:val="007B09DF"/>
    <w:rsid w:val="007B0C49"/>
    <w:rsid w:val="007B111C"/>
    <w:rsid w:val="007B15DD"/>
    <w:rsid w:val="007C2084"/>
    <w:rsid w:val="007C3E88"/>
    <w:rsid w:val="007C5048"/>
    <w:rsid w:val="007C582F"/>
    <w:rsid w:val="007D0B5D"/>
    <w:rsid w:val="007D4F8D"/>
    <w:rsid w:val="007D65F4"/>
    <w:rsid w:val="007D6B4A"/>
    <w:rsid w:val="007E3526"/>
    <w:rsid w:val="007E65DE"/>
    <w:rsid w:val="007F1948"/>
    <w:rsid w:val="007F2A6B"/>
    <w:rsid w:val="00804DF2"/>
    <w:rsid w:val="0081169F"/>
    <w:rsid w:val="0081237A"/>
    <w:rsid w:val="00814FF5"/>
    <w:rsid w:val="00836C96"/>
    <w:rsid w:val="008416D5"/>
    <w:rsid w:val="00850598"/>
    <w:rsid w:val="008509C0"/>
    <w:rsid w:val="00850B30"/>
    <w:rsid w:val="008551F9"/>
    <w:rsid w:val="008568B5"/>
    <w:rsid w:val="00857730"/>
    <w:rsid w:val="008608CF"/>
    <w:rsid w:val="00866B8D"/>
    <w:rsid w:val="008715AE"/>
    <w:rsid w:val="00873667"/>
    <w:rsid w:val="00876FDE"/>
    <w:rsid w:val="00880B0E"/>
    <w:rsid w:val="00881E09"/>
    <w:rsid w:val="008833BC"/>
    <w:rsid w:val="00895204"/>
    <w:rsid w:val="008955D5"/>
    <w:rsid w:val="008A4233"/>
    <w:rsid w:val="008A5635"/>
    <w:rsid w:val="008A5996"/>
    <w:rsid w:val="008A5DB6"/>
    <w:rsid w:val="008B0F20"/>
    <w:rsid w:val="008B2850"/>
    <w:rsid w:val="008B2D4A"/>
    <w:rsid w:val="008B35E1"/>
    <w:rsid w:val="008B612C"/>
    <w:rsid w:val="008B7840"/>
    <w:rsid w:val="008C2B11"/>
    <w:rsid w:val="008C2D16"/>
    <w:rsid w:val="008C517D"/>
    <w:rsid w:val="008D2CD1"/>
    <w:rsid w:val="008D7823"/>
    <w:rsid w:val="008E1AF8"/>
    <w:rsid w:val="008E3FCC"/>
    <w:rsid w:val="008E4969"/>
    <w:rsid w:val="008E4B11"/>
    <w:rsid w:val="008E6A28"/>
    <w:rsid w:val="008F5B3F"/>
    <w:rsid w:val="008F6F61"/>
    <w:rsid w:val="00906F18"/>
    <w:rsid w:val="009134BD"/>
    <w:rsid w:val="009149E5"/>
    <w:rsid w:val="00916BE7"/>
    <w:rsid w:val="009205AE"/>
    <w:rsid w:val="00921BDD"/>
    <w:rsid w:val="00924C2D"/>
    <w:rsid w:val="00933CE9"/>
    <w:rsid w:val="009376B3"/>
    <w:rsid w:val="00941A60"/>
    <w:rsid w:val="00943A82"/>
    <w:rsid w:val="009446F3"/>
    <w:rsid w:val="009454C4"/>
    <w:rsid w:val="0094720D"/>
    <w:rsid w:val="00951D4A"/>
    <w:rsid w:val="00952EE8"/>
    <w:rsid w:val="0095357F"/>
    <w:rsid w:val="009546E1"/>
    <w:rsid w:val="0096179F"/>
    <w:rsid w:val="00961CD5"/>
    <w:rsid w:val="00961E30"/>
    <w:rsid w:val="00963ABD"/>
    <w:rsid w:val="00963F56"/>
    <w:rsid w:val="00964093"/>
    <w:rsid w:val="0096758C"/>
    <w:rsid w:val="00967707"/>
    <w:rsid w:val="0099398B"/>
    <w:rsid w:val="00993C64"/>
    <w:rsid w:val="00997CF2"/>
    <w:rsid w:val="009A2DA4"/>
    <w:rsid w:val="009B3AE5"/>
    <w:rsid w:val="009C0337"/>
    <w:rsid w:val="009C0FE6"/>
    <w:rsid w:val="009C6028"/>
    <w:rsid w:val="009D337C"/>
    <w:rsid w:val="009F281E"/>
    <w:rsid w:val="00A05996"/>
    <w:rsid w:val="00A06FF2"/>
    <w:rsid w:val="00A139DC"/>
    <w:rsid w:val="00A20892"/>
    <w:rsid w:val="00A2146A"/>
    <w:rsid w:val="00A21E15"/>
    <w:rsid w:val="00A25F0C"/>
    <w:rsid w:val="00A25FAA"/>
    <w:rsid w:val="00A26BDC"/>
    <w:rsid w:val="00A333F8"/>
    <w:rsid w:val="00A33655"/>
    <w:rsid w:val="00A3375E"/>
    <w:rsid w:val="00A40353"/>
    <w:rsid w:val="00A43F70"/>
    <w:rsid w:val="00A451BB"/>
    <w:rsid w:val="00A4615B"/>
    <w:rsid w:val="00A47C5E"/>
    <w:rsid w:val="00A500B9"/>
    <w:rsid w:val="00A55611"/>
    <w:rsid w:val="00A70569"/>
    <w:rsid w:val="00A71169"/>
    <w:rsid w:val="00A711B2"/>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B7B"/>
    <w:rsid w:val="00AC68F4"/>
    <w:rsid w:val="00AD35AD"/>
    <w:rsid w:val="00AE255E"/>
    <w:rsid w:val="00AF07FE"/>
    <w:rsid w:val="00AF0E38"/>
    <w:rsid w:val="00AF298D"/>
    <w:rsid w:val="00AF399B"/>
    <w:rsid w:val="00AF3B51"/>
    <w:rsid w:val="00B0200B"/>
    <w:rsid w:val="00B03848"/>
    <w:rsid w:val="00B064A6"/>
    <w:rsid w:val="00B06C7D"/>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4D83"/>
    <w:rsid w:val="00BE5E11"/>
    <w:rsid w:val="00BF2F78"/>
    <w:rsid w:val="00BF309E"/>
    <w:rsid w:val="00BF4201"/>
    <w:rsid w:val="00BF44C7"/>
    <w:rsid w:val="00BF5703"/>
    <w:rsid w:val="00BF78A2"/>
    <w:rsid w:val="00C04711"/>
    <w:rsid w:val="00C04E2A"/>
    <w:rsid w:val="00C164CC"/>
    <w:rsid w:val="00C17A14"/>
    <w:rsid w:val="00C2308C"/>
    <w:rsid w:val="00C23E9E"/>
    <w:rsid w:val="00C4185C"/>
    <w:rsid w:val="00C53397"/>
    <w:rsid w:val="00C56E8B"/>
    <w:rsid w:val="00C64D92"/>
    <w:rsid w:val="00C652F6"/>
    <w:rsid w:val="00C7264E"/>
    <w:rsid w:val="00C814FB"/>
    <w:rsid w:val="00C84CCA"/>
    <w:rsid w:val="00C86CB6"/>
    <w:rsid w:val="00C873F7"/>
    <w:rsid w:val="00C9294A"/>
    <w:rsid w:val="00C92AB0"/>
    <w:rsid w:val="00C93D14"/>
    <w:rsid w:val="00CA0D67"/>
    <w:rsid w:val="00CA7630"/>
    <w:rsid w:val="00CB2A26"/>
    <w:rsid w:val="00CB7B3C"/>
    <w:rsid w:val="00CC0825"/>
    <w:rsid w:val="00CC5108"/>
    <w:rsid w:val="00CC7AFE"/>
    <w:rsid w:val="00CC7FBA"/>
    <w:rsid w:val="00CD5925"/>
    <w:rsid w:val="00CE00CC"/>
    <w:rsid w:val="00CF49B2"/>
    <w:rsid w:val="00CF55AE"/>
    <w:rsid w:val="00D0024D"/>
    <w:rsid w:val="00D02177"/>
    <w:rsid w:val="00D044DE"/>
    <w:rsid w:val="00D06274"/>
    <w:rsid w:val="00D1664B"/>
    <w:rsid w:val="00D27A5B"/>
    <w:rsid w:val="00D31414"/>
    <w:rsid w:val="00D33886"/>
    <w:rsid w:val="00D348E8"/>
    <w:rsid w:val="00D430DD"/>
    <w:rsid w:val="00D4471B"/>
    <w:rsid w:val="00D45F69"/>
    <w:rsid w:val="00D46A9D"/>
    <w:rsid w:val="00D51B43"/>
    <w:rsid w:val="00D54D0E"/>
    <w:rsid w:val="00D620D7"/>
    <w:rsid w:val="00D64F06"/>
    <w:rsid w:val="00D737AE"/>
    <w:rsid w:val="00D750AF"/>
    <w:rsid w:val="00D86B8A"/>
    <w:rsid w:val="00D87031"/>
    <w:rsid w:val="00D93202"/>
    <w:rsid w:val="00D93755"/>
    <w:rsid w:val="00D97067"/>
    <w:rsid w:val="00DA79FC"/>
    <w:rsid w:val="00DB0A8C"/>
    <w:rsid w:val="00DB2204"/>
    <w:rsid w:val="00DB3B32"/>
    <w:rsid w:val="00DB61C4"/>
    <w:rsid w:val="00DC1977"/>
    <w:rsid w:val="00DC5988"/>
    <w:rsid w:val="00DD0E91"/>
    <w:rsid w:val="00DE2A4F"/>
    <w:rsid w:val="00DF03FA"/>
    <w:rsid w:val="00DF181E"/>
    <w:rsid w:val="00DF604F"/>
    <w:rsid w:val="00E016D0"/>
    <w:rsid w:val="00E030D1"/>
    <w:rsid w:val="00E0572D"/>
    <w:rsid w:val="00E05F3D"/>
    <w:rsid w:val="00E0756C"/>
    <w:rsid w:val="00E11F88"/>
    <w:rsid w:val="00E137B5"/>
    <w:rsid w:val="00E165AD"/>
    <w:rsid w:val="00E2056F"/>
    <w:rsid w:val="00E247FE"/>
    <w:rsid w:val="00E24EDE"/>
    <w:rsid w:val="00E47A50"/>
    <w:rsid w:val="00E558E8"/>
    <w:rsid w:val="00E575B6"/>
    <w:rsid w:val="00E6280C"/>
    <w:rsid w:val="00E6560E"/>
    <w:rsid w:val="00E723FE"/>
    <w:rsid w:val="00E75D9B"/>
    <w:rsid w:val="00E82382"/>
    <w:rsid w:val="00E83667"/>
    <w:rsid w:val="00E846A1"/>
    <w:rsid w:val="00E907BB"/>
    <w:rsid w:val="00EA1E3A"/>
    <w:rsid w:val="00EA5F35"/>
    <w:rsid w:val="00EA6209"/>
    <w:rsid w:val="00EA7A40"/>
    <w:rsid w:val="00EB31D1"/>
    <w:rsid w:val="00EB33C1"/>
    <w:rsid w:val="00EB6BF0"/>
    <w:rsid w:val="00EC29A9"/>
    <w:rsid w:val="00EC3BEC"/>
    <w:rsid w:val="00ED4E29"/>
    <w:rsid w:val="00ED76E0"/>
    <w:rsid w:val="00EE1B35"/>
    <w:rsid w:val="00EE2131"/>
    <w:rsid w:val="00EE78FD"/>
    <w:rsid w:val="00EE7EF0"/>
    <w:rsid w:val="00F013C1"/>
    <w:rsid w:val="00F11A46"/>
    <w:rsid w:val="00F16351"/>
    <w:rsid w:val="00F232C6"/>
    <w:rsid w:val="00F2712B"/>
    <w:rsid w:val="00F367F3"/>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3F48"/>
    <w:rsid w:val="00FA65F9"/>
    <w:rsid w:val="00FA7B55"/>
    <w:rsid w:val="00FB0588"/>
    <w:rsid w:val="00FB11DB"/>
    <w:rsid w:val="00FB1A3D"/>
    <w:rsid w:val="00FB567D"/>
    <w:rsid w:val="00FC0342"/>
    <w:rsid w:val="00FC1C8C"/>
    <w:rsid w:val="00FC23EB"/>
    <w:rsid w:val="00FC300A"/>
    <w:rsid w:val="00FC4812"/>
    <w:rsid w:val="00FC4949"/>
    <w:rsid w:val="00FC6314"/>
    <w:rsid w:val="00FC74F5"/>
    <w:rsid w:val="00FD03E5"/>
    <w:rsid w:val="00FD07E0"/>
    <w:rsid w:val="00FD1B4A"/>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D5925"/>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CD5925"/>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styleId="UnresolvedMention">
    <w:name w:val="Unresolved Mention"/>
    <w:basedOn w:val="DefaultParagraphFont"/>
    <w:uiPriority w:val="99"/>
    <w:semiHidden/>
    <w:unhideWhenUsed/>
    <w:rsid w:val="00873667"/>
    <w:rPr>
      <w:color w:val="605E5C"/>
      <w:shd w:val="clear" w:color="auto" w:fill="E1DFDD"/>
    </w:rPr>
  </w:style>
  <w:style w:type="paragraph" w:styleId="Revision">
    <w:name w:val="Revision"/>
    <w:hidden/>
    <w:uiPriority w:val="99"/>
    <w:semiHidden/>
    <w:rsid w:val="00252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21016624">
      <w:bodyDiv w:val="1"/>
      <w:marLeft w:val="0"/>
      <w:marRight w:val="0"/>
      <w:marTop w:val="0"/>
      <w:marBottom w:val="0"/>
      <w:divBdr>
        <w:top w:val="none" w:sz="0" w:space="0" w:color="auto"/>
        <w:left w:val="none" w:sz="0" w:space="0" w:color="auto"/>
        <w:bottom w:val="none" w:sz="0" w:space="0" w:color="auto"/>
        <w:right w:val="none" w:sz="0" w:space="0" w:color="auto"/>
      </w:divBdr>
    </w:div>
    <w:div w:id="1417559085">
      <w:bodyDiv w:val="1"/>
      <w:marLeft w:val="0"/>
      <w:marRight w:val="0"/>
      <w:marTop w:val="0"/>
      <w:marBottom w:val="0"/>
      <w:divBdr>
        <w:top w:val="none" w:sz="0" w:space="0" w:color="auto"/>
        <w:left w:val="none" w:sz="0" w:space="0" w:color="auto"/>
        <w:bottom w:val="none" w:sz="0" w:space="0" w:color="auto"/>
        <w:right w:val="none" w:sz="0" w:space="0" w:color="auto"/>
      </w:divBdr>
    </w:div>
    <w:div w:id="213582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F47B9-3E3C-4CFD-A48C-3EC863F4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20752</Words>
  <Characters>11829</Characters>
  <Application>Microsoft Office Word</Application>
  <DocSecurity>0</DocSecurity>
  <Lines>98</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28</cp:revision>
  <cp:lastPrinted>2020-01-22T13:56:00Z</cp:lastPrinted>
  <dcterms:created xsi:type="dcterms:W3CDTF">2022-09-28T11:54:00Z</dcterms:created>
  <dcterms:modified xsi:type="dcterms:W3CDTF">2022-11-29T11:55:00Z</dcterms:modified>
</cp:coreProperties>
</file>