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18862BB2"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DF72FF">
        <w:rPr>
          <w:rFonts w:ascii="Times New Roman" w:eastAsia="Times New Roman" w:hAnsi="Times New Roman" w:cs="Times New Roman"/>
          <w:color w:val="000000"/>
          <w:sz w:val="24"/>
          <w:szCs w:val="24"/>
        </w:rPr>
        <w:t>11.maija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4D756C39"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F205E2" w:rsidRPr="00F205E2">
        <w:rPr>
          <w:rFonts w:ascii="Times New Roman" w:hAnsi="Times New Roman" w:cs="Times New Roman"/>
          <w:b/>
          <w:bCs/>
          <w:sz w:val="48"/>
          <w:szCs w:val="48"/>
        </w:rPr>
        <w:t>Teritorijas attīrīšana Ganību ielā 99a, Ventspilī</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359B97C5"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5871C3">
        <w:rPr>
          <w:rFonts w:ascii="Times New Roman" w:hAnsi="Times New Roman" w:cs="Times New Roman"/>
          <w:b/>
          <w:sz w:val="36"/>
          <w:szCs w:val="48"/>
        </w:rPr>
        <w:t>51</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76444C59" w14:textId="0AF2CA82" w:rsidR="002105D0"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2704562" w:history="1">
        <w:r w:rsidR="002105D0" w:rsidRPr="005F4A5E">
          <w:rPr>
            <w:rStyle w:val="Hyperlink"/>
            <w:noProof/>
          </w:rPr>
          <w:t>1.</w:t>
        </w:r>
        <w:r w:rsidR="002105D0">
          <w:rPr>
            <w:rFonts w:asciiTheme="minorHAnsi" w:eastAsiaTheme="minorEastAsia" w:hAnsiTheme="minorHAnsi" w:cstheme="minorBidi"/>
            <w:noProof/>
            <w:sz w:val="22"/>
            <w:szCs w:val="22"/>
          </w:rPr>
          <w:tab/>
        </w:r>
        <w:r w:rsidR="002105D0" w:rsidRPr="005F4A5E">
          <w:rPr>
            <w:rStyle w:val="Hyperlink"/>
            <w:noProof/>
          </w:rPr>
          <w:t>VISPĀRĪGA INFORMĀCIJA</w:t>
        </w:r>
        <w:r w:rsidR="002105D0">
          <w:rPr>
            <w:noProof/>
            <w:webHidden/>
          </w:rPr>
          <w:tab/>
        </w:r>
        <w:r w:rsidR="002105D0">
          <w:rPr>
            <w:noProof/>
            <w:webHidden/>
          </w:rPr>
          <w:fldChar w:fldCharType="begin"/>
        </w:r>
        <w:r w:rsidR="002105D0">
          <w:rPr>
            <w:noProof/>
            <w:webHidden/>
          </w:rPr>
          <w:instrText xml:space="preserve"> PAGEREF _Toc132704562 \h </w:instrText>
        </w:r>
        <w:r w:rsidR="002105D0">
          <w:rPr>
            <w:noProof/>
            <w:webHidden/>
          </w:rPr>
        </w:r>
        <w:r w:rsidR="002105D0">
          <w:rPr>
            <w:noProof/>
            <w:webHidden/>
          </w:rPr>
          <w:fldChar w:fldCharType="separate"/>
        </w:r>
        <w:r w:rsidR="002105D0">
          <w:rPr>
            <w:noProof/>
            <w:webHidden/>
          </w:rPr>
          <w:t>3</w:t>
        </w:r>
        <w:r w:rsidR="002105D0">
          <w:rPr>
            <w:noProof/>
            <w:webHidden/>
          </w:rPr>
          <w:fldChar w:fldCharType="end"/>
        </w:r>
      </w:hyperlink>
    </w:p>
    <w:p w14:paraId="3531D982" w14:textId="4F185C36" w:rsidR="002105D0" w:rsidRDefault="00C04390">
      <w:pPr>
        <w:pStyle w:val="TOC1"/>
        <w:rPr>
          <w:rFonts w:asciiTheme="minorHAnsi" w:eastAsiaTheme="minorEastAsia" w:hAnsiTheme="minorHAnsi" w:cstheme="minorBidi"/>
          <w:noProof/>
          <w:sz w:val="22"/>
          <w:szCs w:val="22"/>
        </w:rPr>
      </w:pPr>
      <w:hyperlink w:anchor="_Toc132704563" w:history="1">
        <w:r w:rsidR="002105D0" w:rsidRPr="005F4A5E">
          <w:rPr>
            <w:rStyle w:val="Hyperlink"/>
            <w:bCs/>
            <w:noProof/>
          </w:rPr>
          <w:t>2.</w:t>
        </w:r>
        <w:r w:rsidR="002105D0">
          <w:rPr>
            <w:rFonts w:asciiTheme="minorHAnsi" w:eastAsiaTheme="minorEastAsia" w:hAnsiTheme="minorHAnsi" w:cstheme="minorBidi"/>
            <w:noProof/>
            <w:sz w:val="22"/>
            <w:szCs w:val="22"/>
          </w:rPr>
          <w:tab/>
        </w:r>
        <w:r w:rsidR="002105D0" w:rsidRPr="005F4A5E">
          <w:rPr>
            <w:rStyle w:val="Hyperlink"/>
            <w:noProof/>
          </w:rPr>
          <w:t>INFORMĀCIJA PAR IEPIRKUMA PRIEKŠMETU</w:t>
        </w:r>
        <w:r w:rsidR="002105D0">
          <w:rPr>
            <w:noProof/>
            <w:webHidden/>
          </w:rPr>
          <w:tab/>
        </w:r>
        <w:r w:rsidR="002105D0">
          <w:rPr>
            <w:noProof/>
            <w:webHidden/>
          </w:rPr>
          <w:fldChar w:fldCharType="begin"/>
        </w:r>
        <w:r w:rsidR="002105D0">
          <w:rPr>
            <w:noProof/>
            <w:webHidden/>
          </w:rPr>
          <w:instrText xml:space="preserve"> PAGEREF _Toc132704563 \h </w:instrText>
        </w:r>
        <w:r w:rsidR="002105D0">
          <w:rPr>
            <w:noProof/>
            <w:webHidden/>
          </w:rPr>
        </w:r>
        <w:r w:rsidR="002105D0">
          <w:rPr>
            <w:noProof/>
            <w:webHidden/>
          </w:rPr>
          <w:fldChar w:fldCharType="separate"/>
        </w:r>
        <w:r w:rsidR="002105D0">
          <w:rPr>
            <w:noProof/>
            <w:webHidden/>
          </w:rPr>
          <w:t>3</w:t>
        </w:r>
        <w:r w:rsidR="002105D0">
          <w:rPr>
            <w:noProof/>
            <w:webHidden/>
          </w:rPr>
          <w:fldChar w:fldCharType="end"/>
        </w:r>
      </w:hyperlink>
    </w:p>
    <w:p w14:paraId="54722EB6" w14:textId="158747C5" w:rsidR="002105D0" w:rsidRDefault="00C04390">
      <w:pPr>
        <w:pStyle w:val="TOC1"/>
        <w:rPr>
          <w:rFonts w:asciiTheme="minorHAnsi" w:eastAsiaTheme="minorEastAsia" w:hAnsiTheme="minorHAnsi" w:cstheme="minorBidi"/>
          <w:noProof/>
          <w:sz w:val="22"/>
          <w:szCs w:val="22"/>
        </w:rPr>
      </w:pPr>
      <w:hyperlink w:anchor="_Toc132704564" w:history="1">
        <w:r w:rsidR="002105D0" w:rsidRPr="005F4A5E">
          <w:rPr>
            <w:rStyle w:val="Hyperlink"/>
            <w:noProof/>
          </w:rPr>
          <w:t>3.</w:t>
        </w:r>
        <w:r w:rsidR="002105D0">
          <w:rPr>
            <w:rFonts w:asciiTheme="minorHAnsi" w:eastAsiaTheme="minorEastAsia" w:hAnsiTheme="minorHAnsi" w:cstheme="minorBidi"/>
            <w:noProof/>
            <w:sz w:val="22"/>
            <w:szCs w:val="22"/>
          </w:rPr>
          <w:tab/>
        </w:r>
        <w:r w:rsidR="002105D0" w:rsidRPr="005F4A5E">
          <w:rPr>
            <w:rStyle w:val="Hyperlink"/>
            <w:noProof/>
          </w:rPr>
          <w:t>IEPIRKUMA PROCEDŪRAS DOKUMENTI</w:t>
        </w:r>
        <w:r w:rsidR="002105D0">
          <w:rPr>
            <w:noProof/>
            <w:webHidden/>
          </w:rPr>
          <w:tab/>
        </w:r>
        <w:r w:rsidR="002105D0">
          <w:rPr>
            <w:noProof/>
            <w:webHidden/>
          </w:rPr>
          <w:fldChar w:fldCharType="begin"/>
        </w:r>
        <w:r w:rsidR="002105D0">
          <w:rPr>
            <w:noProof/>
            <w:webHidden/>
          </w:rPr>
          <w:instrText xml:space="preserve"> PAGEREF _Toc132704564 \h </w:instrText>
        </w:r>
        <w:r w:rsidR="002105D0">
          <w:rPr>
            <w:noProof/>
            <w:webHidden/>
          </w:rPr>
        </w:r>
        <w:r w:rsidR="002105D0">
          <w:rPr>
            <w:noProof/>
            <w:webHidden/>
          </w:rPr>
          <w:fldChar w:fldCharType="separate"/>
        </w:r>
        <w:r w:rsidR="002105D0">
          <w:rPr>
            <w:noProof/>
            <w:webHidden/>
          </w:rPr>
          <w:t>4</w:t>
        </w:r>
        <w:r w:rsidR="002105D0">
          <w:rPr>
            <w:noProof/>
            <w:webHidden/>
          </w:rPr>
          <w:fldChar w:fldCharType="end"/>
        </w:r>
      </w:hyperlink>
    </w:p>
    <w:p w14:paraId="3B76D7D4" w14:textId="715860A0" w:rsidR="002105D0" w:rsidRDefault="00C04390">
      <w:pPr>
        <w:pStyle w:val="TOC1"/>
        <w:rPr>
          <w:rFonts w:asciiTheme="minorHAnsi" w:eastAsiaTheme="minorEastAsia" w:hAnsiTheme="minorHAnsi" w:cstheme="minorBidi"/>
          <w:noProof/>
          <w:sz w:val="22"/>
          <w:szCs w:val="22"/>
        </w:rPr>
      </w:pPr>
      <w:hyperlink w:anchor="_Toc132704565" w:history="1">
        <w:r w:rsidR="002105D0" w:rsidRPr="005F4A5E">
          <w:rPr>
            <w:rStyle w:val="Hyperlink"/>
            <w:noProof/>
          </w:rPr>
          <w:t>4.</w:t>
        </w:r>
        <w:r w:rsidR="002105D0">
          <w:rPr>
            <w:rFonts w:asciiTheme="minorHAnsi" w:eastAsiaTheme="minorEastAsia" w:hAnsiTheme="minorHAnsi" w:cstheme="minorBidi"/>
            <w:noProof/>
            <w:sz w:val="22"/>
            <w:szCs w:val="22"/>
          </w:rPr>
          <w:tab/>
        </w:r>
        <w:r w:rsidR="002105D0" w:rsidRPr="005F4A5E">
          <w:rPr>
            <w:rStyle w:val="Hyperlink"/>
            <w:noProof/>
          </w:rPr>
          <w:t>DALĪBAS NOSACĪJUMI IEPIRKUMA PROCEDŪRĀ</w:t>
        </w:r>
        <w:r w:rsidR="002105D0">
          <w:rPr>
            <w:noProof/>
            <w:webHidden/>
          </w:rPr>
          <w:tab/>
        </w:r>
        <w:r w:rsidR="002105D0">
          <w:rPr>
            <w:noProof/>
            <w:webHidden/>
          </w:rPr>
          <w:fldChar w:fldCharType="begin"/>
        </w:r>
        <w:r w:rsidR="002105D0">
          <w:rPr>
            <w:noProof/>
            <w:webHidden/>
          </w:rPr>
          <w:instrText xml:space="preserve"> PAGEREF _Toc132704565 \h </w:instrText>
        </w:r>
        <w:r w:rsidR="002105D0">
          <w:rPr>
            <w:noProof/>
            <w:webHidden/>
          </w:rPr>
        </w:r>
        <w:r w:rsidR="002105D0">
          <w:rPr>
            <w:noProof/>
            <w:webHidden/>
          </w:rPr>
          <w:fldChar w:fldCharType="separate"/>
        </w:r>
        <w:r w:rsidR="002105D0">
          <w:rPr>
            <w:noProof/>
            <w:webHidden/>
          </w:rPr>
          <w:t>4</w:t>
        </w:r>
        <w:r w:rsidR="002105D0">
          <w:rPr>
            <w:noProof/>
            <w:webHidden/>
          </w:rPr>
          <w:fldChar w:fldCharType="end"/>
        </w:r>
      </w:hyperlink>
    </w:p>
    <w:p w14:paraId="5942C671" w14:textId="142C3E81" w:rsidR="002105D0" w:rsidRDefault="00C04390">
      <w:pPr>
        <w:pStyle w:val="TOC1"/>
        <w:rPr>
          <w:rFonts w:asciiTheme="minorHAnsi" w:eastAsiaTheme="minorEastAsia" w:hAnsiTheme="minorHAnsi" w:cstheme="minorBidi"/>
          <w:noProof/>
          <w:sz w:val="22"/>
          <w:szCs w:val="22"/>
        </w:rPr>
      </w:pPr>
      <w:hyperlink w:anchor="_Toc132704566" w:history="1">
        <w:r w:rsidR="002105D0" w:rsidRPr="005F4A5E">
          <w:rPr>
            <w:rStyle w:val="Hyperlink"/>
            <w:noProof/>
          </w:rPr>
          <w:t>5.</w:t>
        </w:r>
        <w:r w:rsidR="002105D0">
          <w:rPr>
            <w:rFonts w:asciiTheme="minorHAnsi" w:eastAsiaTheme="minorEastAsia" w:hAnsiTheme="minorHAnsi" w:cstheme="minorBidi"/>
            <w:noProof/>
            <w:sz w:val="22"/>
            <w:szCs w:val="22"/>
          </w:rPr>
          <w:tab/>
        </w:r>
        <w:r w:rsidR="002105D0" w:rsidRPr="005F4A5E">
          <w:rPr>
            <w:rStyle w:val="Hyperlink"/>
            <w:noProof/>
          </w:rPr>
          <w:t>KVALIFIKĀCIJAS PRASĪBAS</w:t>
        </w:r>
        <w:r w:rsidR="002105D0">
          <w:rPr>
            <w:noProof/>
            <w:webHidden/>
          </w:rPr>
          <w:tab/>
        </w:r>
        <w:r w:rsidR="002105D0">
          <w:rPr>
            <w:noProof/>
            <w:webHidden/>
          </w:rPr>
          <w:fldChar w:fldCharType="begin"/>
        </w:r>
        <w:r w:rsidR="002105D0">
          <w:rPr>
            <w:noProof/>
            <w:webHidden/>
          </w:rPr>
          <w:instrText xml:space="preserve"> PAGEREF _Toc132704566 \h </w:instrText>
        </w:r>
        <w:r w:rsidR="002105D0">
          <w:rPr>
            <w:noProof/>
            <w:webHidden/>
          </w:rPr>
        </w:r>
        <w:r w:rsidR="002105D0">
          <w:rPr>
            <w:noProof/>
            <w:webHidden/>
          </w:rPr>
          <w:fldChar w:fldCharType="separate"/>
        </w:r>
        <w:r w:rsidR="002105D0">
          <w:rPr>
            <w:noProof/>
            <w:webHidden/>
          </w:rPr>
          <w:t>6</w:t>
        </w:r>
        <w:r w:rsidR="002105D0">
          <w:rPr>
            <w:noProof/>
            <w:webHidden/>
          </w:rPr>
          <w:fldChar w:fldCharType="end"/>
        </w:r>
      </w:hyperlink>
    </w:p>
    <w:p w14:paraId="71C3C280" w14:textId="2781EE39" w:rsidR="002105D0" w:rsidRDefault="00C04390">
      <w:pPr>
        <w:pStyle w:val="TOC1"/>
        <w:rPr>
          <w:rFonts w:asciiTheme="minorHAnsi" w:eastAsiaTheme="minorEastAsia" w:hAnsiTheme="minorHAnsi" w:cstheme="minorBidi"/>
          <w:noProof/>
          <w:sz w:val="22"/>
          <w:szCs w:val="22"/>
        </w:rPr>
      </w:pPr>
      <w:hyperlink w:anchor="_Toc132704567" w:history="1">
        <w:r w:rsidR="002105D0" w:rsidRPr="005F4A5E">
          <w:rPr>
            <w:rStyle w:val="Hyperlink"/>
            <w:noProof/>
          </w:rPr>
          <w:t>6.</w:t>
        </w:r>
        <w:r w:rsidR="002105D0">
          <w:rPr>
            <w:rFonts w:asciiTheme="minorHAnsi" w:eastAsiaTheme="minorEastAsia" w:hAnsiTheme="minorHAnsi" w:cstheme="minorBidi"/>
            <w:noProof/>
            <w:sz w:val="22"/>
            <w:szCs w:val="22"/>
          </w:rPr>
          <w:tab/>
        </w:r>
        <w:r w:rsidR="002105D0" w:rsidRPr="005F4A5E">
          <w:rPr>
            <w:rStyle w:val="Hyperlink"/>
            <w:noProof/>
          </w:rPr>
          <w:t>IESNIEDZAMIE DOKUMENTI:</w:t>
        </w:r>
        <w:r w:rsidR="002105D0">
          <w:rPr>
            <w:noProof/>
            <w:webHidden/>
          </w:rPr>
          <w:tab/>
        </w:r>
        <w:r w:rsidR="002105D0">
          <w:rPr>
            <w:noProof/>
            <w:webHidden/>
          </w:rPr>
          <w:fldChar w:fldCharType="begin"/>
        </w:r>
        <w:r w:rsidR="002105D0">
          <w:rPr>
            <w:noProof/>
            <w:webHidden/>
          </w:rPr>
          <w:instrText xml:space="preserve"> PAGEREF _Toc132704567 \h </w:instrText>
        </w:r>
        <w:r w:rsidR="002105D0">
          <w:rPr>
            <w:noProof/>
            <w:webHidden/>
          </w:rPr>
        </w:r>
        <w:r w:rsidR="002105D0">
          <w:rPr>
            <w:noProof/>
            <w:webHidden/>
          </w:rPr>
          <w:fldChar w:fldCharType="separate"/>
        </w:r>
        <w:r w:rsidR="002105D0">
          <w:rPr>
            <w:noProof/>
            <w:webHidden/>
          </w:rPr>
          <w:t>7</w:t>
        </w:r>
        <w:r w:rsidR="002105D0">
          <w:rPr>
            <w:noProof/>
            <w:webHidden/>
          </w:rPr>
          <w:fldChar w:fldCharType="end"/>
        </w:r>
      </w:hyperlink>
    </w:p>
    <w:p w14:paraId="7E09A673" w14:textId="505F9CC9" w:rsidR="002105D0" w:rsidRDefault="00C04390">
      <w:pPr>
        <w:pStyle w:val="TOC1"/>
        <w:rPr>
          <w:rFonts w:asciiTheme="minorHAnsi" w:eastAsiaTheme="minorEastAsia" w:hAnsiTheme="minorHAnsi" w:cstheme="minorBidi"/>
          <w:noProof/>
          <w:sz w:val="22"/>
          <w:szCs w:val="22"/>
        </w:rPr>
      </w:pPr>
      <w:hyperlink w:anchor="_Toc132704568" w:history="1">
        <w:r w:rsidR="002105D0" w:rsidRPr="005F4A5E">
          <w:rPr>
            <w:rStyle w:val="Hyperlink"/>
            <w:noProof/>
          </w:rPr>
          <w:t>7.</w:t>
        </w:r>
        <w:r w:rsidR="002105D0">
          <w:rPr>
            <w:rFonts w:asciiTheme="minorHAnsi" w:eastAsiaTheme="minorEastAsia" w:hAnsiTheme="minorHAnsi" w:cstheme="minorBidi"/>
            <w:noProof/>
            <w:sz w:val="22"/>
            <w:szCs w:val="22"/>
          </w:rPr>
          <w:tab/>
        </w:r>
        <w:r w:rsidR="002105D0" w:rsidRPr="005F4A5E">
          <w:rPr>
            <w:rStyle w:val="Hyperlink"/>
            <w:noProof/>
          </w:rPr>
          <w:t>PRETENDENTU ATLASES DOKUMENTI</w:t>
        </w:r>
        <w:r w:rsidR="002105D0">
          <w:rPr>
            <w:noProof/>
            <w:webHidden/>
          </w:rPr>
          <w:tab/>
        </w:r>
        <w:r w:rsidR="002105D0">
          <w:rPr>
            <w:noProof/>
            <w:webHidden/>
          </w:rPr>
          <w:fldChar w:fldCharType="begin"/>
        </w:r>
        <w:r w:rsidR="002105D0">
          <w:rPr>
            <w:noProof/>
            <w:webHidden/>
          </w:rPr>
          <w:instrText xml:space="preserve"> PAGEREF _Toc132704568 \h </w:instrText>
        </w:r>
        <w:r w:rsidR="002105D0">
          <w:rPr>
            <w:noProof/>
            <w:webHidden/>
          </w:rPr>
        </w:r>
        <w:r w:rsidR="002105D0">
          <w:rPr>
            <w:noProof/>
            <w:webHidden/>
          </w:rPr>
          <w:fldChar w:fldCharType="separate"/>
        </w:r>
        <w:r w:rsidR="002105D0">
          <w:rPr>
            <w:noProof/>
            <w:webHidden/>
          </w:rPr>
          <w:t>7</w:t>
        </w:r>
        <w:r w:rsidR="002105D0">
          <w:rPr>
            <w:noProof/>
            <w:webHidden/>
          </w:rPr>
          <w:fldChar w:fldCharType="end"/>
        </w:r>
      </w:hyperlink>
    </w:p>
    <w:p w14:paraId="53439704" w14:textId="35F630A4" w:rsidR="002105D0" w:rsidRDefault="00C04390">
      <w:pPr>
        <w:pStyle w:val="TOC1"/>
        <w:rPr>
          <w:rFonts w:asciiTheme="minorHAnsi" w:eastAsiaTheme="minorEastAsia" w:hAnsiTheme="minorHAnsi" w:cstheme="minorBidi"/>
          <w:noProof/>
          <w:sz w:val="22"/>
          <w:szCs w:val="22"/>
        </w:rPr>
      </w:pPr>
      <w:hyperlink w:anchor="_Toc132704569" w:history="1">
        <w:r w:rsidR="002105D0" w:rsidRPr="005F4A5E">
          <w:rPr>
            <w:rStyle w:val="Hyperlink"/>
            <w:noProof/>
          </w:rPr>
          <w:t>8.</w:t>
        </w:r>
        <w:r w:rsidR="002105D0">
          <w:rPr>
            <w:rFonts w:asciiTheme="minorHAnsi" w:eastAsiaTheme="minorEastAsia" w:hAnsiTheme="minorHAnsi" w:cstheme="minorBidi"/>
            <w:noProof/>
            <w:sz w:val="22"/>
            <w:szCs w:val="22"/>
          </w:rPr>
          <w:tab/>
        </w:r>
        <w:r w:rsidR="002105D0" w:rsidRPr="005F4A5E">
          <w:rPr>
            <w:rStyle w:val="Hyperlink"/>
            <w:noProof/>
          </w:rPr>
          <w:t>TEHNISKAIS UN FINANŠU PIEDĀVĀJUMS</w:t>
        </w:r>
        <w:r w:rsidR="002105D0">
          <w:rPr>
            <w:noProof/>
            <w:webHidden/>
          </w:rPr>
          <w:tab/>
        </w:r>
        <w:r w:rsidR="002105D0">
          <w:rPr>
            <w:noProof/>
            <w:webHidden/>
          </w:rPr>
          <w:fldChar w:fldCharType="begin"/>
        </w:r>
        <w:r w:rsidR="002105D0">
          <w:rPr>
            <w:noProof/>
            <w:webHidden/>
          </w:rPr>
          <w:instrText xml:space="preserve"> PAGEREF _Toc132704569 \h </w:instrText>
        </w:r>
        <w:r w:rsidR="002105D0">
          <w:rPr>
            <w:noProof/>
            <w:webHidden/>
          </w:rPr>
        </w:r>
        <w:r w:rsidR="002105D0">
          <w:rPr>
            <w:noProof/>
            <w:webHidden/>
          </w:rPr>
          <w:fldChar w:fldCharType="separate"/>
        </w:r>
        <w:r w:rsidR="002105D0">
          <w:rPr>
            <w:noProof/>
            <w:webHidden/>
          </w:rPr>
          <w:t>9</w:t>
        </w:r>
        <w:r w:rsidR="002105D0">
          <w:rPr>
            <w:noProof/>
            <w:webHidden/>
          </w:rPr>
          <w:fldChar w:fldCharType="end"/>
        </w:r>
      </w:hyperlink>
    </w:p>
    <w:p w14:paraId="63055D6D" w14:textId="2A6F4452" w:rsidR="002105D0" w:rsidRDefault="00C04390">
      <w:pPr>
        <w:pStyle w:val="TOC1"/>
        <w:rPr>
          <w:rFonts w:asciiTheme="minorHAnsi" w:eastAsiaTheme="minorEastAsia" w:hAnsiTheme="minorHAnsi" w:cstheme="minorBidi"/>
          <w:noProof/>
          <w:sz w:val="22"/>
          <w:szCs w:val="22"/>
        </w:rPr>
      </w:pPr>
      <w:hyperlink w:anchor="_Toc132704570" w:history="1">
        <w:r w:rsidR="002105D0" w:rsidRPr="005F4A5E">
          <w:rPr>
            <w:rStyle w:val="Hyperlink"/>
            <w:noProof/>
          </w:rPr>
          <w:t>9.</w:t>
        </w:r>
        <w:r w:rsidR="002105D0">
          <w:rPr>
            <w:rFonts w:asciiTheme="minorHAnsi" w:eastAsiaTheme="minorEastAsia" w:hAnsiTheme="minorHAnsi" w:cstheme="minorBidi"/>
            <w:noProof/>
            <w:sz w:val="22"/>
            <w:szCs w:val="22"/>
          </w:rPr>
          <w:tab/>
        </w:r>
        <w:r w:rsidR="002105D0" w:rsidRPr="005F4A5E">
          <w:rPr>
            <w:rStyle w:val="Hyperlink"/>
            <w:noProof/>
          </w:rPr>
          <w:t>PIEDĀVĀJUMA SAGATAVOŠANA UN NOFORMĒŠANA</w:t>
        </w:r>
        <w:r w:rsidR="002105D0">
          <w:rPr>
            <w:noProof/>
            <w:webHidden/>
          </w:rPr>
          <w:tab/>
        </w:r>
        <w:r w:rsidR="002105D0">
          <w:rPr>
            <w:noProof/>
            <w:webHidden/>
          </w:rPr>
          <w:fldChar w:fldCharType="begin"/>
        </w:r>
        <w:r w:rsidR="002105D0">
          <w:rPr>
            <w:noProof/>
            <w:webHidden/>
          </w:rPr>
          <w:instrText xml:space="preserve"> PAGEREF _Toc132704570 \h </w:instrText>
        </w:r>
        <w:r w:rsidR="002105D0">
          <w:rPr>
            <w:noProof/>
            <w:webHidden/>
          </w:rPr>
        </w:r>
        <w:r w:rsidR="002105D0">
          <w:rPr>
            <w:noProof/>
            <w:webHidden/>
          </w:rPr>
          <w:fldChar w:fldCharType="separate"/>
        </w:r>
        <w:r w:rsidR="002105D0">
          <w:rPr>
            <w:noProof/>
            <w:webHidden/>
          </w:rPr>
          <w:t>9</w:t>
        </w:r>
        <w:r w:rsidR="002105D0">
          <w:rPr>
            <w:noProof/>
            <w:webHidden/>
          </w:rPr>
          <w:fldChar w:fldCharType="end"/>
        </w:r>
      </w:hyperlink>
    </w:p>
    <w:p w14:paraId="5FDE0ACB" w14:textId="743E2950" w:rsidR="002105D0" w:rsidRDefault="00C04390">
      <w:pPr>
        <w:pStyle w:val="TOC1"/>
        <w:rPr>
          <w:rFonts w:asciiTheme="minorHAnsi" w:eastAsiaTheme="minorEastAsia" w:hAnsiTheme="minorHAnsi" w:cstheme="minorBidi"/>
          <w:noProof/>
          <w:sz w:val="22"/>
          <w:szCs w:val="22"/>
        </w:rPr>
      </w:pPr>
      <w:hyperlink w:anchor="_Toc132704571" w:history="1">
        <w:r w:rsidR="002105D0" w:rsidRPr="005F4A5E">
          <w:rPr>
            <w:rStyle w:val="Hyperlink"/>
            <w:noProof/>
          </w:rPr>
          <w:t>10.</w:t>
        </w:r>
        <w:r w:rsidR="002105D0">
          <w:rPr>
            <w:rFonts w:asciiTheme="minorHAnsi" w:eastAsiaTheme="minorEastAsia" w:hAnsiTheme="minorHAnsi" w:cstheme="minorBidi"/>
            <w:noProof/>
            <w:sz w:val="22"/>
            <w:szCs w:val="22"/>
          </w:rPr>
          <w:tab/>
        </w:r>
        <w:r w:rsidR="002105D0" w:rsidRPr="005F4A5E">
          <w:rPr>
            <w:rStyle w:val="Hyperlink"/>
            <w:noProof/>
          </w:rPr>
          <w:t>PIEDĀVĀJUMA IESNIEGŠANA UN ATVĒRŠANA</w:t>
        </w:r>
        <w:r w:rsidR="002105D0">
          <w:rPr>
            <w:noProof/>
            <w:webHidden/>
          </w:rPr>
          <w:tab/>
        </w:r>
        <w:r w:rsidR="002105D0">
          <w:rPr>
            <w:noProof/>
            <w:webHidden/>
          </w:rPr>
          <w:fldChar w:fldCharType="begin"/>
        </w:r>
        <w:r w:rsidR="002105D0">
          <w:rPr>
            <w:noProof/>
            <w:webHidden/>
          </w:rPr>
          <w:instrText xml:space="preserve"> PAGEREF _Toc132704571 \h </w:instrText>
        </w:r>
        <w:r w:rsidR="002105D0">
          <w:rPr>
            <w:noProof/>
            <w:webHidden/>
          </w:rPr>
        </w:r>
        <w:r w:rsidR="002105D0">
          <w:rPr>
            <w:noProof/>
            <w:webHidden/>
          </w:rPr>
          <w:fldChar w:fldCharType="separate"/>
        </w:r>
        <w:r w:rsidR="002105D0">
          <w:rPr>
            <w:noProof/>
            <w:webHidden/>
          </w:rPr>
          <w:t>10</w:t>
        </w:r>
        <w:r w:rsidR="002105D0">
          <w:rPr>
            <w:noProof/>
            <w:webHidden/>
          </w:rPr>
          <w:fldChar w:fldCharType="end"/>
        </w:r>
      </w:hyperlink>
    </w:p>
    <w:p w14:paraId="7F673106" w14:textId="34D8334F" w:rsidR="002105D0" w:rsidRDefault="00C04390">
      <w:pPr>
        <w:pStyle w:val="TOC1"/>
        <w:rPr>
          <w:rFonts w:asciiTheme="minorHAnsi" w:eastAsiaTheme="minorEastAsia" w:hAnsiTheme="minorHAnsi" w:cstheme="minorBidi"/>
          <w:noProof/>
          <w:sz w:val="22"/>
          <w:szCs w:val="22"/>
        </w:rPr>
      </w:pPr>
      <w:hyperlink w:anchor="_Toc132704577" w:history="1">
        <w:r w:rsidR="002105D0" w:rsidRPr="005F4A5E">
          <w:rPr>
            <w:rStyle w:val="Hyperlink"/>
            <w:noProof/>
          </w:rPr>
          <w:t>11.</w:t>
        </w:r>
        <w:r w:rsidR="002105D0">
          <w:rPr>
            <w:rFonts w:asciiTheme="minorHAnsi" w:eastAsiaTheme="minorEastAsia" w:hAnsiTheme="minorHAnsi" w:cstheme="minorBidi"/>
            <w:noProof/>
            <w:sz w:val="22"/>
            <w:szCs w:val="22"/>
          </w:rPr>
          <w:tab/>
        </w:r>
        <w:r w:rsidR="002105D0" w:rsidRPr="005F4A5E">
          <w:rPr>
            <w:rStyle w:val="Hyperlink"/>
            <w:noProof/>
          </w:rPr>
          <w:t>CITI NOTEIKUMI</w:t>
        </w:r>
        <w:r w:rsidR="002105D0">
          <w:rPr>
            <w:noProof/>
            <w:webHidden/>
          </w:rPr>
          <w:tab/>
        </w:r>
        <w:r w:rsidR="002105D0">
          <w:rPr>
            <w:noProof/>
            <w:webHidden/>
          </w:rPr>
          <w:fldChar w:fldCharType="begin"/>
        </w:r>
        <w:r w:rsidR="002105D0">
          <w:rPr>
            <w:noProof/>
            <w:webHidden/>
          </w:rPr>
          <w:instrText xml:space="preserve"> PAGEREF _Toc132704577 \h </w:instrText>
        </w:r>
        <w:r w:rsidR="002105D0">
          <w:rPr>
            <w:noProof/>
            <w:webHidden/>
          </w:rPr>
        </w:r>
        <w:r w:rsidR="002105D0">
          <w:rPr>
            <w:noProof/>
            <w:webHidden/>
          </w:rPr>
          <w:fldChar w:fldCharType="separate"/>
        </w:r>
        <w:r w:rsidR="002105D0">
          <w:rPr>
            <w:noProof/>
            <w:webHidden/>
          </w:rPr>
          <w:t>11</w:t>
        </w:r>
        <w:r w:rsidR="002105D0">
          <w:rPr>
            <w:noProof/>
            <w:webHidden/>
          </w:rPr>
          <w:fldChar w:fldCharType="end"/>
        </w:r>
      </w:hyperlink>
    </w:p>
    <w:p w14:paraId="34D09CC1" w14:textId="765545A9" w:rsidR="002105D0" w:rsidRDefault="00C04390">
      <w:pPr>
        <w:pStyle w:val="TOC1"/>
        <w:rPr>
          <w:rFonts w:asciiTheme="minorHAnsi" w:eastAsiaTheme="minorEastAsia" w:hAnsiTheme="minorHAnsi" w:cstheme="minorBidi"/>
          <w:noProof/>
          <w:sz w:val="22"/>
          <w:szCs w:val="22"/>
        </w:rPr>
      </w:pPr>
      <w:hyperlink w:anchor="_Toc132704578" w:history="1">
        <w:r w:rsidR="002105D0" w:rsidRPr="005F4A5E">
          <w:rPr>
            <w:rStyle w:val="Hyperlink"/>
            <w:noProof/>
          </w:rPr>
          <w:t>12.</w:t>
        </w:r>
        <w:r w:rsidR="002105D0">
          <w:rPr>
            <w:rFonts w:asciiTheme="minorHAnsi" w:eastAsiaTheme="minorEastAsia" w:hAnsiTheme="minorHAnsi" w:cstheme="minorBidi"/>
            <w:noProof/>
            <w:sz w:val="22"/>
            <w:szCs w:val="22"/>
          </w:rPr>
          <w:tab/>
        </w:r>
        <w:r w:rsidR="002105D0" w:rsidRPr="005F4A5E">
          <w:rPr>
            <w:rStyle w:val="Hyperlink"/>
            <w:noProof/>
          </w:rPr>
          <w:t>IEPIRKUMA LĪGUMA SLĒGŠANA</w:t>
        </w:r>
        <w:r w:rsidR="002105D0">
          <w:rPr>
            <w:noProof/>
            <w:webHidden/>
          </w:rPr>
          <w:tab/>
        </w:r>
        <w:r w:rsidR="002105D0">
          <w:rPr>
            <w:noProof/>
            <w:webHidden/>
          </w:rPr>
          <w:fldChar w:fldCharType="begin"/>
        </w:r>
        <w:r w:rsidR="002105D0">
          <w:rPr>
            <w:noProof/>
            <w:webHidden/>
          </w:rPr>
          <w:instrText xml:space="preserve"> PAGEREF _Toc132704578 \h </w:instrText>
        </w:r>
        <w:r w:rsidR="002105D0">
          <w:rPr>
            <w:noProof/>
            <w:webHidden/>
          </w:rPr>
        </w:r>
        <w:r w:rsidR="002105D0">
          <w:rPr>
            <w:noProof/>
            <w:webHidden/>
          </w:rPr>
          <w:fldChar w:fldCharType="separate"/>
        </w:r>
        <w:r w:rsidR="002105D0">
          <w:rPr>
            <w:noProof/>
            <w:webHidden/>
          </w:rPr>
          <w:t>13</w:t>
        </w:r>
        <w:r w:rsidR="002105D0">
          <w:rPr>
            <w:noProof/>
            <w:webHidden/>
          </w:rPr>
          <w:fldChar w:fldCharType="end"/>
        </w:r>
      </w:hyperlink>
    </w:p>
    <w:p w14:paraId="733C7A85" w14:textId="421A6F68"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2704562"/>
      <w:r w:rsidRPr="0052313A">
        <w:t>VISPĀRĪGA INFORMĀCIJA</w:t>
      </w:r>
      <w:bookmarkEnd w:id="0"/>
    </w:p>
    <w:p w14:paraId="6A90D6E4" w14:textId="7DDEF41F"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5871C3">
        <w:rPr>
          <w:rFonts w:ascii="Times New Roman" w:hAnsi="Times New Roman" w:cs="Times New Roman"/>
          <w:sz w:val="24"/>
          <w:szCs w:val="24"/>
        </w:rPr>
        <w:t>51</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C0439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2D471656" w:rsidR="00E75D9B" w:rsidRPr="0052313A" w:rsidRDefault="00F205E2" w:rsidP="0015774A">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 xml:space="preserve">Andis Jansons, tālr. numurs 26159886, e-pasta adrese andis.jansons@vbp.lv, </w:t>
            </w:r>
            <w:r>
              <w:rPr>
                <w:rFonts w:ascii="Times New Roman" w:hAnsi="Times New Roman" w:cs="Times New Roman"/>
                <w:sz w:val="24"/>
                <w:szCs w:val="24"/>
              </w:rPr>
              <w:t>i</w:t>
            </w:r>
            <w:r w:rsidRPr="00F205E2">
              <w:rPr>
                <w:rFonts w:ascii="Times New Roman" w:hAnsi="Times New Roman" w:cs="Times New Roman"/>
                <w:sz w:val="24"/>
                <w:szCs w:val="24"/>
              </w:rPr>
              <w:t>epirkumi@vbp.lv</w:t>
            </w:r>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0D1EDCA2"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2704563"/>
      <w:r w:rsidRPr="0052313A">
        <w:t>INFORMĀCIJA PAR IEPIRKUMA PRIEKŠMETU</w:t>
      </w:r>
      <w:bookmarkEnd w:id="1"/>
    </w:p>
    <w:p w14:paraId="083B8B88" w14:textId="1D6F9B68" w:rsidR="00F25DA0" w:rsidRPr="00F205E2" w:rsidRDefault="00E75D9B" w:rsidP="00F205E2">
      <w:pPr>
        <w:pStyle w:val="ListParagraph"/>
        <w:numPr>
          <w:ilvl w:val="1"/>
          <w:numId w:val="2"/>
        </w:numPr>
        <w:ind w:left="993" w:hanging="633"/>
        <w:jc w:val="both"/>
        <w:rPr>
          <w:rFonts w:ascii="Times New Roman" w:hAnsi="Times New Roman" w:cs="Times New Roman"/>
          <w:bCs/>
          <w:sz w:val="24"/>
          <w:szCs w:val="24"/>
        </w:rPr>
      </w:pPr>
      <w:r w:rsidRPr="00F205E2">
        <w:rPr>
          <w:rFonts w:ascii="Times New Roman" w:hAnsi="Times New Roman" w:cs="Times New Roman"/>
          <w:b/>
          <w:sz w:val="24"/>
          <w:szCs w:val="24"/>
        </w:rPr>
        <w:t xml:space="preserve">Iepirkuma priekšmets: </w:t>
      </w:r>
      <w:r w:rsidR="00F205E2" w:rsidRPr="00F205E2">
        <w:rPr>
          <w:rFonts w:ascii="Times New Roman" w:hAnsi="Times New Roman" w:cs="Times New Roman"/>
          <w:bCs/>
          <w:sz w:val="24"/>
          <w:szCs w:val="24"/>
        </w:rPr>
        <w:t>Teritorijas attīrīšana Ganību ielā 99a, Ventspilī</w:t>
      </w:r>
      <w:r w:rsidR="00F25DA0" w:rsidRPr="00F205E2">
        <w:rPr>
          <w:rFonts w:ascii="Times New Roman" w:hAnsi="Times New Roman" w:cs="Times New Roman"/>
          <w:bCs/>
          <w:sz w:val="24"/>
          <w:szCs w:val="24"/>
        </w:rPr>
        <w:t xml:space="preserve"> saskaņā ar Darba uzdevumā noteikto (1.pielikums).</w:t>
      </w:r>
      <w:r w:rsidR="00F205E2">
        <w:rPr>
          <w:rFonts w:ascii="Times New Roman" w:hAnsi="Times New Roman" w:cs="Times New Roman"/>
          <w:bCs/>
          <w:sz w:val="24"/>
          <w:szCs w:val="24"/>
        </w:rPr>
        <w:t xml:space="preserve"> </w:t>
      </w:r>
      <w:r w:rsidR="00AE77AA">
        <w:rPr>
          <w:rFonts w:ascii="Times New Roman" w:hAnsi="Times New Roman" w:cs="Times New Roman"/>
          <w:bCs/>
          <w:sz w:val="24"/>
          <w:szCs w:val="24"/>
        </w:rPr>
        <w:t>K</w:t>
      </w:r>
      <w:r w:rsidR="00AE77AA" w:rsidRPr="00F205E2">
        <w:rPr>
          <w:rFonts w:ascii="Times New Roman" w:hAnsi="Times New Roman" w:cs="Times New Roman"/>
          <w:bCs/>
          <w:sz w:val="24"/>
          <w:szCs w:val="24"/>
        </w:rPr>
        <w:t>opēj</w:t>
      </w:r>
      <w:r w:rsidR="00AE77AA">
        <w:rPr>
          <w:rFonts w:ascii="Times New Roman" w:hAnsi="Times New Roman" w:cs="Times New Roman"/>
          <w:bCs/>
          <w:sz w:val="24"/>
          <w:szCs w:val="24"/>
        </w:rPr>
        <w:t>ā</w:t>
      </w:r>
      <w:r w:rsidR="00AE77AA" w:rsidRPr="00F205E2">
        <w:rPr>
          <w:rFonts w:ascii="Times New Roman" w:hAnsi="Times New Roman" w:cs="Times New Roman"/>
          <w:bCs/>
          <w:sz w:val="24"/>
          <w:szCs w:val="24"/>
        </w:rPr>
        <w:t xml:space="preserve"> teritorijas platīb</w:t>
      </w:r>
      <w:r w:rsidR="00AE77AA">
        <w:rPr>
          <w:rFonts w:ascii="Times New Roman" w:hAnsi="Times New Roman" w:cs="Times New Roman"/>
          <w:bCs/>
          <w:sz w:val="24"/>
          <w:szCs w:val="24"/>
        </w:rPr>
        <w:t>a</w:t>
      </w:r>
      <w:r w:rsidR="00AE77AA" w:rsidRPr="00F205E2">
        <w:rPr>
          <w:rFonts w:ascii="Times New Roman" w:hAnsi="Times New Roman" w:cs="Times New Roman"/>
          <w:bCs/>
          <w:sz w:val="24"/>
          <w:szCs w:val="24"/>
        </w:rPr>
        <w:t xml:space="preserve"> 27 838  m2</w:t>
      </w:r>
      <w:r w:rsidR="00F205E2">
        <w:rPr>
          <w:rFonts w:ascii="Times New Roman" w:hAnsi="Times New Roman" w:cs="Times New Roman"/>
          <w:bCs/>
          <w:sz w:val="24"/>
          <w:szCs w:val="24"/>
        </w:rPr>
        <w:t xml:space="preserve">. </w:t>
      </w:r>
      <w:r w:rsidR="00F205E2" w:rsidRPr="00F205E2">
        <w:rPr>
          <w:rFonts w:ascii="Times New Roman" w:hAnsi="Times New Roman" w:cs="Times New Roman"/>
          <w:bCs/>
          <w:sz w:val="24"/>
          <w:szCs w:val="24"/>
        </w:rPr>
        <w:t>Objektā atrodas aptuveni 56 dažādu tipa un izmēra dārza mājiņas</w:t>
      </w:r>
      <w:r w:rsidR="00E2127B">
        <w:rPr>
          <w:rFonts w:ascii="Times New Roman" w:hAnsi="Times New Roman" w:cs="Times New Roman"/>
          <w:bCs/>
          <w:sz w:val="24"/>
          <w:szCs w:val="24"/>
        </w:rPr>
        <w:t>.</w:t>
      </w:r>
    </w:p>
    <w:p w14:paraId="6F1E8248" w14:textId="66BAD143" w:rsidR="0086033A" w:rsidRPr="00F25DA0" w:rsidRDefault="00E75D9B" w:rsidP="0087592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F25DA0">
        <w:rPr>
          <w:rFonts w:ascii="Times New Roman" w:hAnsi="Times New Roman" w:cs="Times New Roman"/>
          <w:b/>
          <w:sz w:val="24"/>
          <w:szCs w:val="24"/>
        </w:rPr>
        <w:t>CPV kods:</w:t>
      </w:r>
      <w:r w:rsidRPr="00F25DA0">
        <w:rPr>
          <w:rFonts w:ascii="Times New Roman" w:hAnsi="Times New Roman" w:cs="Times New Roman"/>
          <w:sz w:val="24"/>
          <w:szCs w:val="24"/>
        </w:rPr>
        <w:t xml:space="preserve"> </w:t>
      </w:r>
      <w:r w:rsidR="00F205E2" w:rsidRPr="00F205E2">
        <w:rPr>
          <w:rFonts w:ascii="Times New Roman" w:eastAsia="Calibri" w:hAnsi="Times New Roman" w:cs="Times New Roman"/>
          <w:sz w:val="24"/>
          <w:szCs w:val="24"/>
        </w:rPr>
        <w:t xml:space="preserve">90000000-7 </w:t>
      </w:r>
      <w:r w:rsidR="004F76BF" w:rsidRPr="00F25DA0">
        <w:rPr>
          <w:rFonts w:ascii="Times New Roman" w:eastAsia="Calibri" w:hAnsi="Times New Roman" w:cs="Times New Roman"/>
          <w:sz w:val="24"/>
          <w:szCs w:val="24"/>
        </w:rPr>
        <w:t>(</w:t>
      </w:r>
      <w:r w:rsidR="00F205E2" w:rsidRPr="00F205E2">
        <w:rPr>
          <w:rFonts w:ascii="Times New Roman" w:eastAsia="Calibri" w:hAnsi="Times New Roman" w:cs="Times New Roman"/>
          <w:sz w:val="24"/>
          <w:szCs w:val="24"/>
        </w:rPr>
        <w:t>Notekūdeņu, atkritumu, tīrīšanas un vides pakalpojumi</w:t>
      </w:r>
      <w:r w:rsidR="004F76BF" w:rsidRPr="00F25DA0">
        <w:rPr>
          <w:rFonts w:ascii="Times New Roman" w:eastAsia="Calibri" w:hAnsi="Times New Roman" w:cs="Times New Roman"/>
          <w:sz w:val="24"/>
          <w:szCs w:val="24"/>
        </w:rPr>
        <w:t>).</w:t>
      </w:r>
    </w:p>
    <w:p w14:paraId="0078ED23" w14:textId="78493543" w:rsidR="00E75D9B" w:rsidRPr="00AE77AA"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40</w:t>
      </w:r>
      <w:r w:rsidR="00F444EC" w:rsidRPr="0052313A">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četrdesmit</w:t>
      </w:r>
      <w:r w:rsidR="00935863">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kalendār</w:t>
      </w:r>
      <w:r w:rsidR="00F205E2">
        <w:rPr>
          <w:rFonts w:ascii="Times New Roman" w:eastAsia="Times New Roman" w:hAnsi="Times New Roman" w:cs="Times New Roman"/>
          <w:sz w:val="24"/>
          <w:szCs w:val="24"/>
          <w:lang w:eastAsia="lv-LV"/>
        </w:rPr>
        <w:t>o</w:t>
      </w:r>
      <w:r w:rsidR="00F25DA0">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die</w:t>
      </w:r>
      <w:r w:rsidR="005B1FAA">
        <w:rPr>
          <w:rFonts w:ascii="Times New Roman" w:eastAsia="Times New Roman" w:hAnsi="Times New Roman" w:cs="Times New Roman"/>
          <w:sz w:val="24"/>
          <w:szCs w:val="24"/>
          <w:lang w:eastAsia="lv-LV"/>
        </w:rPr>
        <w:t>n</w:t>
      </w:r>
      <w:r w:rsidR="00F205E2">
        <w:rPr>
          <w:rFonts w:ascii="Times New Roman" w:eastAsia="Times New Roman" w:hAnsi="Times New Roman" w:cs="Times New Roman"/>
          <w:sz w:val="24"/>
          <w:szCs w:val="24"/>
          <w:lang w:eastAsia="lv-LV"/>
        </w:rPr>
        <w:t>u laikā</w:t>
      </w:r>
      <w:r w:rsidR="00F25DA0">
        <w:rPr>
          <w:rFonts w:ascii="Times New Roman" w:eastAsia="Times New Roman" w:hAnsi="Times New Roman" w:cs="Times New Roman"/>
          <w:sz w:val="24"/>
          <w:szCs w:val="24"/>
          <w:lang w:eastAsia="lv-LV"/>
        </w:rPr>
        <w:t xml:space="preserve"> </w:t>
      </w:r>
      <w:r w:rsidR="00F444EC" w:rsidRPr="0052313A">
        <w:rPr>
          <w:rFonts w:ascii="Times New Roman" w:eastAsia="Times New Roman" w:hAnsi="Times New Roman" w:cs="Times New Roman"/>
          <w:sz w:val="24"/>
          <w:szCs w:val="24"/>
          <w:lang w:eastAsia="lv-LV"/>
        </w:rPr>
        <w:t>no līguma noslēgšanas brīža</w:t>
      </w:r>
      <w:r w:rsidR="008026F1" w:rsidRPr="0052313A">
        <w:rPr>
          <w:rFonts w:ascii="Times New Roman" w:eastAsia="Times New Roman" w:hAnsi="Times New Roman" w:cs="Times New Roman"/>
          <w:sz w:val="24"/>
          <w:szCs w:val="24"/>
          <w:lang w:eastAsia="lv-LV"/>
        </w:rPr>
        <w:t>.</w:t>
      </w:r>
    </w:p>
    <w:p w14:paraId="7C77F341" w14:textId="25840442" w:rsidR="00AE77AA" w:rsidRPr="0052313A" w:rsidRDefault="00AE77AA"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AE77AA">
        <w:rPr>
          <w:rFonts w:ascii="Times New Roman" w:hAnsi="Times New Roman" w:cs="Times New Roman"/>
          <w:b/>
          <w:bCs/>
          <w:sz w:val="24"/>
          <w:szCs w:val="24"/>
        </w:rPr>
        <w:t>Objekta atrašanās vieta:</w:t>
      </w:r>
      <w:r>
        <w:rPr>
          <w:rFonts w:ascii="Times New Roman" w:hAnsi="Times New Roman" w:cs="Times New Roman"/>
          <w:sz w:val="24"/>
          <w:szCs w:val="24"/>
        </w:rPr>
        <w:t xml:space="preserve"> </w:t>
      </w:r>
      <w:r w:rsidRPr="00AE77AA">
        <w:rPr>
          <w:rFonts w:ascii="Times New Roman" w:hAnsi="Times New Roman" w:cs="Times New Roman"/>
          <w:sz w:val="24"/>
          <w:szCs w:val="24"/>
        </w:rPr>
        <w:t>Ganību iela 99a,</w:t>
      </w:r>
      <w:r w:rsidR="00E2127B">
        <w:rPr>
          <w:rFonts w:ascii="Times New Roman" w:hAnsi="Times New Roman" w:cs="Times New Roman"/>
          <w:sz w:val="24"/>
          <w:szCs w:val="24"/>
        </w:rPr>
        <w:t xml:space="preserve"> </w:t>
      </w:r>
      <w:r w:rsidRPr="00AE77AA">
        <w:rPr>
          <w:rFonts w:ascii="Times New Roman" w:hAnsi="Times New Roman" w:cs="Times New Roman"/>
          <w:sz w:val="24"/>
          <w:szCs w:val="24"/>
        </w:rPr>
        <w:t>Ventspilī</w:t>
      </w:r>
      <w:r w:rsidR="005B1FAA">
        <w:rPr>
          <w:rFonts w:ascii="Times New Roman" w:hAnsi="Times New Roman" w:cs="Times New Roman"/>
          <w:sz w:val="24"/>
          <w:szCs w:val="24"/>
        </w:rPr>
        <w:t>. K</w:t>
      </w:r>
      <w:r w:rsidRPr="00AE77AA">
        <w:rPr>
          <w:rFonts w:ascii="Times New Roman" w:hAnsi="Times New Roman" w:cs="Times New Roman"/>
          <w:sz w:val="24"/>
          <w:szCs w:val="24"/>
        </w:rPr>
        <w:t>adastra apzīmējums 27000170020</w:t>
      </w:r>
      <w:r>
        <w:rPr>
          <w:rFonts w:ascii="Times New Roman" w:hAnsi="Times New Roman" w:cs="Times New Roman"/>
          <w:sz w:val="24"/>
          <w:szCs w:val="24"/>
        </w:rPr>
        <w:t xml:space="preserve">. </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2704564"/>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w:t>
      </w:r>
      <w:r w:rsidRPr="0052313A">
        <w:rPr>
          <w:rFonts w:ascii="Times New Roman" w:eastAsia="Times New Roman" w:hAnsi="Times New Roman" w:cs="Times New Roman"/>
          <w:sz w:val="24"/>
          <w:szCs w:val="24"/>
        </w:rPr>
        <w:lastRenderedPageBreak/>
        <w:t xml:space="preserve">un EIS tīmekļa vietnē </w:t>
      </w:r>
      <w:hyperlink r:id="rId9"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777777" w:rsidR="0005665D" w:rsidRDefault="00F444EC" w:rsidP="0005665D">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8972BFF" w14:textId="1592BB57"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0475CE">
        <w:rPr>
          <w:b/>
          <w:szCs w:val="24"/>
        </w:rPr>
        <w:t>3</w:t>
      </w:r>
      <w:r w:rsidRPr="0052313A">
        <w:rPr>
          <w:b/>
          <w:szCs w:val="24"/>
        </w:rPr>
        <w:t>.pielikums</w:t>
      </w:r>
      <w:r w:rsidRPr="0052313A">
        <w:rPr>
          <w:szCs w:val="24"/>
        </w:rPr>
        <w:t>).</w:t>
      </w:r>
    </w:p>
    <w:p w14:paraId="31C452C1" w14:textId="1289E776"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0475CE">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2DE3413D"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1"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C04390">
        <w:rPr>
          <w:rFonts w:ascii="Times New Roman" w:eastAsia="Times New Roman" w:hAnsi="Times New Roman" w:cs="Times New Roman"/>
          <w:b/>
          <w:bCs/>
          <w:sz w:val="24"/>
          <w:szCs w:val="24"/>
        </w:rPr>
        <w:t>24.maijam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F339AC">
        <w:rPr>
          <w:rFonts w:ascii="Times New Roman" w:eastAsia="Times New Roman" w:hAnsi="Times New Roman" w:cs="Times New Roman"/>
          <w:b/>
          <w:sz w:val="24"/>
          <w:szCs w:val="24"/>
        </w:rPr>
        <w:t>1</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2704565"/>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lastRenderedPageBreak/>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w:t>
      </w:r>
      <w:r w:rsidRPr="0052313A">
        <w:rPr>
          <w:shd w:val="clear" w:color="auto" w:fill="FFFFFF"/>
        </w:rPr>
        <w:lastRenderedPageBreak/>
        <w:t>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2704566"/>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6683F81B" w:rsidR="00F444EC" w:rsidRPr="0052313A" w:rsidRDefault="00F444EC" w:rsidP="004E6A7D">
      <w:pPr>
        <w:pStyle w:val="BlockText"/>
        <w:numPr>
          <w:ilvl w:val="1"/>
          <w:numId w:val="5"/>
        </w:numPr>
        <w:ind w:left="993" w:right="-57" w:hanging="709"/>
        <w:jc w:val="both"/>
        <w:rPr>
          <w:szCs w:val="24"/>
        </w:rPr>
      </w:pPr>
      <w:bookmarkStart w:id="8"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52313A">
        <w:rPr>
          <w:szCs w:val="24"/>
        </w:rPr>
        <w:t xml:space="preserve"> </w:t>
      </w:r>
    </w:p>
    <w:p w14:paraId="5D9B7543" w14:textId="7D83C6EB" w:rsidR="009D4A3E" w:rsidRPr="0052313A" w:rsidRDefault="009D4A3E" w:rsidP="004E6A7D">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nolikuma </w:t>
      </w:r>
      <w:r w:rsidR="00AB3FC5">
        <w:rPr>
          <w:b/>
          <w:bCs/>
        </w:rPr>
        <w:t>4</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w:t>
      </w:r>
      <w:r w:rsidRPr="0052313A">
        <w:lastRenderedPageBreak/>
        <w:t xml:space="preserve">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6BB76AA3" w14:textId="77777777" w:rsidR="00F444EC" w:rsidRPr="0052313A" w:rsidRDefault="00F444EC" w:rsidP="00B11E80">
      <w:pPr>
        <w:pStyle w:val="Heading1"/>
      </w:pPr>
      <w:bookmarkStart w:id="11" w:name="_Toc132704567"/>
      <w:bookmarkEnd w:id="9"/>
      <w:r w:rsidRPr="0052313A">
        <w:t>IESNIEDZAMIE DOKUMENTI:</w:t>
      </w:r>
      <w:bookmarkEnd w:id="11"/>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2" w:name="_Toc312767050"/>
      <w:bookmarkStart w:id="13" w:name="_Toc496711283"/>
      <w:bookmarkStart w:id="14" w:name="_Toc108533794"/>
      <w:bookmarkStart w:id="15" w:name="_Toc132704568"/>
      <w:bookmarkStart w:id="16" w:name="_Hlk61000617"/>
      <w:bookmarkEnd w:id="7"/>
      <w:bookmarkEnd w:id="10"/>
      <w:r w:rsidRPr="0052313A">
        <w:t>PRETENDENTU ATLASES DOKUMENTI</w:t>
      </w:r>
      <w:bookmarkEnd w:id="12"/>
      <w:bookmarkEnd w:id="13"/>
      <w:bookmarkEnd w:id="14"/>
      <w:bookmarkEnd w:id="15"/>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lastRenderedPageBreak/>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34FF6533"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AB3FC5">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7" w:name="_Toc312767052"/>
      <w:bookmarkStart w:id="18" w:name="_Toc496711285"/>
      <w:bookmarkStart w:id="19" w:name="_Toc108533795"/>
      <w:bookmarkStart w:id="20" w:name="_Toc132704569"/>
      <w:bookmarkStart w:id="21" w:name="_Hlk61002686"/>
      <w:bookmarkEnd w:id="4"/>
      <w:bookmarkEnd w:id="16"/>
      <w:r w:rsidRPr="0052313A">
        <w:lastRenderedPageBreak/>
        <w:t>TEHNISKAIS UN FINANŠU PIEDĀVĀJUMS</w:t>
      </w:r>
      <w:bookmarkEnd w:id="17"/>
      <w:bookmarkEnd w:id="18"/>
      <w:bookmarkEnd w:id="19"/>
      <w:bookmarkEnd w:id="20"/>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F85784D" w:rsidR="00E75D9B" w:rsidRPr="0052313A" w:rsidRDefault="00E75D9B" w:rsidP="00B11E80">
      <w:pPr>
        <w:pStyle w:val="Heading1"/>
      </w:pPr>
      <w:bookmarkStart w:id="22" w:name="_Toc132704570"/>
      <w:bookmarkEnd w:id="21"/>
      <w:r w:rsidRPr="0052313A">
        <w:t>PIEDĀVĀJUMA SAGATAVOŠANA UN NOFORMĒŠANA</w:t>
      </w:r>
      <w:bookmarkEnd w:id="22"/>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52313A">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6B7F2AC" w14:textId="77777777" w:rsidR="00B14792" w:rsidRPr="00C36B85" w:rsidRDefault="00B14792" w:rsidP="00B14792">
      <w:pPr>
        <w:pStyle w:val="ListParagraph"/>
        <w:numPr>
          <w:ilvl w:val="1"/>
          <w:numId w:val="5"/>
        </w:numPr>
        <w:spacing w:line="240" w:lineRule="auto"/>
        <w:ind w:left="851" w:hanging="709"/>
        <w:jc w:val="both"/>
        <w:rPr>
          <w:rFonts w:ascii="Times New Roman" w:hAnsi="Times New Roman" w:cs="Times New Roman"/>
          <w:b/>
          <w:bCs/>
          <w:sz w:val="24"/>
          <w:szCs w:val="24"/>
        </w:rPr>
      </w:pPr>
      <w:r w:rsidRPr="00C36B85">
        <w:rPr>
          <w:rFonts w:ascii="Times New Roman" w:hAnsi="Times New Roman" w:cs="Times New Roman"/>
          <w:b/>
          <w:bCs/>
          <w:sz w:val="24"/>
          <w:szCs w:val="24"/>
        </w:rPr>
        <w:t>Piedāvājums jāievieto aizlīmētā un aizzīmogotā iepakojumā ar norādi uz tā:</w:t>
      </w:r>
    </w:p>
    <w:p w14:paraId="69E5A2F9" w14:textId="77777777"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Ventspils brīvostas pārvaldei, Jāņa iela 19, Ventspils, LV-3601.</w:t>
      </w:r>
    </w:p>
    <w:p w14:paraId="29AA1947" w14:textId="128A2D14" w:rsidR="00B14792" w:rsidRPr="00B14792" w:rsidRDefault="00B14792" w:rsidP="00B14792">
      <w:pPr>
        <w:spacing w:line="240" w:lineRule="auto"/>
        <w:ind w:left="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Piedāvājums atklātajā iepirkumā „Teritorijas attīrīšana Ganību ielā 99a, Ventspilī”, iepirkuma identifikācijas Nr. VBOP 2023/</w:t>
      </w:r>
      <w:r w:rsidR="005871C3">
        <w:rPr>
          <w:rFonts w:ascii="Times New Roman" w:hAnsi="Times New Roman" w:cs="Times New Roman"/>
          <w:i/>
          <w:iCs/>
          <w:sz w:val="24"/>
          <w:szCs w:val="24"/>
        </w:rPr>
        <w:t>51</w:t>
      </w:r>
      <w:r w:rsidRPr="00B14792">
        <w:rPr>
          <w:rFonts w:ascii="Times New Roman" w:hAnsi="Times New Roman" w:cs="Times New Roman"/>
          <w:i/>
          <w:iCs/>
          <w:sz w:val="24"/>
          <w:szCs w:val="24"/>
        </w:rPr>
        <w:t>.</w:t>
      </w:r>
    </w:p>
    <w:p w14:paraId="7D988511" w14:textId="3C0DB3F3"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b/>
          <w:i/>
          <w:iCs/>
          <w:sz w:val="24"/>
          <w:szCs w:val="24"/>
        </w:rPr>
        <w:t xml:space="preserve">Neatvērt līdz 2023.gada </w:t>
      </w:r>
      <w:r w:rsidR="00C04390">
        <w:rPr>
          <w:rFonts w:ascii="Times New Roman" w:hAnsi="Times New Roman" w:cs="Times New Roman"/>
          <w:b/>
          <w:i/>
          <w:iCs/>
          <w:sz w:val="24"/>
          <w:szCs w:val="24"/>
        </w:rPr>
        <w:t>24.maijam</w:t>
      </w:r>
      <w:r w:rsidRPr="00B14792">
        <w:rPr>
          <w:rFonts w:ascii="Times New Roman" w:hAnsi="Times New Roman" w:cs="Times New Roman"/>
          <w:b/>
          <w:i/>
          <w:iCs/>
          <w:sz w:val="24"/>
          <w:szCs w:val="24"/>
        </w:rPr>
        <w:t xml:space="preserve"> plkst.1</w:t>
      </w:r>
      <w:r w:rsidR="00F339AC">
        <w:rPr>
          <w:rFonts w:ascii="Times New Roman" w:hAnsi="Times New Roman" w:cs="Times New Roman"/>
          <w:b/>
          <w:i/>
          <w:iCs/>
          <w:sz w:val="24"/>
          <w:szCs w:val="24"/>
        </w:rPr>
        <w:t>1</w:t>
      </w:r>
      <w:r w:rsidRPr="00B14792">
        <w:rPr>
          <w:rFonts w:ascii="Times New Roman" w:hAnsi="Times New Roman" w:cs="Times New Roman"/>
          <w:b/>
          <w:i/>
          <w:iCs/>
          <w:sz w:val="24"/>
          <w:szCs w:val="24"/>
          <w:vertAlign w:val="superscript"/>
        </w:rPr>
        <w:t>00</w:t>
      </w:r>
      <w:r w:rsidRPr="00B14792">
        <w:rPr>
          <w:rFonts w:ascii="Times New Roman" w:hAnsi="Times New Roman" w:cs="Times New Roman"/>
          <w:b/>
          <w:i/>
          <w:iCs/>
          <w:sz w:val="24"/>
          <w:szCs w:val="24"/>
        </w:rPr>
        <w:t>.</w:t>
      </w:r>
    </w:p>
    <w:p w14:paraId="5B25DDB9" w14:textId="61478E5C" w:rsidR="00B14792" w:rsidRPr="00B14792" w:rsidRDefault="00B14792" w:rsidP="00B14792">
      <w:pPr>
        <w:spacing w:line="240" w:lineRule="auto"/>
        <w:ind w:firstLine="851"/>
        <w:contextualSpacing/>
        <w:jc w:val="both"/>
        <w:rPr>
          <w:rFonts w:ascii="Times New Roman" w:hAnsi="Times New Roman" w:cs="Times New Roman"/>
          <w:b/>
          <w:i/>
          <w:iCs/>
          <w:sz w:val="24"/>
          <w:szCs w:val="24"/>
        </w:rPr>
      </w:pPr>
      <w:r w:rsidRPr="00B14792">
        <w:rPr>
          <w:rFonts w:ascii="Times New Roman" w:hAnsi="Times New Roman" w:cs="Times New Roman"/>
          <w:i/>
          <w:iCs/>
          <w:sz w:val="24"/>
          <w:szCs w:val="24"/>
        </w:rPr>
        <w:t>Iesniedzēja nosaukums, reģistrācijas Nr., kontaktpersona, tālrunis, e-pasts.</w:t>
      </w:r>
    </w:p>
    <w:p w14:paraId="2471A611" w14:textId="1442A0F7"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3" w:name="_Toc132704571"/>
      <w:r w:rsidRPr="0052313A">
        <w:t>PIEDĀVĀJUMA IESNIEGŠANA UN ATVĒRŠANA</w:t>
      </w:r>
      <w:bookmarkEnd w:id="23"/>
    </w:p>
    <w:p w14:paraId="149B16A0" w14:textId="665A86E5" w:rsidR="00F2144B" w:rsidRPr="00F339AC" w:rsidRDefault="00B14792" w:rsidP="00F2144B">
      <w:pPr>
        <w:pStyle w:val="Heading1"/>
        <w:numPr>
          <w:ilvl w:val="1"/>
          <w:numId w:val="5"/>
        </w:numPr>
        <w:ind w:hanging="787"/>
        <w:contextualSpacing/>
        <w:jc w:val="both"/>
        <w:rPr>
          <w:rFonts w:eastAsiaTheme="minorHAnsi"/>
          <w:b w:val="0"/>
          <w:kern w:val="0"/>
          <w:lang w:eastAsia="en-US"/>
        </w:rPr>
      </w:pPr>
      <w:bookmarkStart w:id="24" w:name="_Toc132704572"/>
      <w:r w:rsidRPr="00F339AC">
        <w:rPr>
          <w:rFonts w:eastAsiaTheme="minorHAnsi"/>
          <w:b w:val="0"/>
          <w:kern w:val="0"/>
          <w:lang w:eastAsia="en-US"/>
        </w:rPr>
        <w:t xml:space="preserve">Piedāvājumu var iesniegt personīgi vai nosūtīt pa pastu ar piegādi un izsniegšanu Komisijas sekretārei </w:t>
      </w:r>
      <w:r w:rsidRPr="00F339AC">
        <w:rPr>
          <w:rFonts w:eastAsiaTheme="minorHAnsi"/>
          <w:kern w:val="0"/>
          <w:lang w:eastAsia="en-US"/>
        </w:rPr>
        <w:t xml:space="preserve">līdz 2023.gada </w:t>
      </w:r>
      <w:r w:rsidR="00C04390">
        <w:rPr>
          <w:rFonts w:eastAsiaTheme="minorHAnsi"/>
          <w:kern w:val="0"/>
          <w:lang w:eastAsia="en-US"/>
        </w:rPr>
        <w:t>24.maijam</w:t>
      </w:r>
      <w:r w:rsidRPr="00F339AC">
        <w:rPr>
          <w:rFonts w:eastAsiaTheme="minorHAnsi"/>
          <w:kern w:val="0"/>
          <w:lang w:eastAsia="en-US"/>
        </w:rPr>
        <w:t xml:space="preserve"> plkst. 1</w:t>
      </w:r>
      <w:r w:rsidR="00F339AC" w:rsidRPr="00F339AC">
        <w:rPr>
          <w:rFonts w:eastAsiaTheme="minorHAnsi"/>
          <w:kern w:val="0"/>
          <w:lang w:eastAsia="en-US"/>
        </w:rPr>
        <w:t>1</w:t>
      </w:r>
      <w:r w:rsidRPr="00F339AC">
        <w:rPr>
          <w:rFonts w:eastAsiaTheme="minorHAnsi"/>
          <w:kern w:val="0"/>
          <w:vertAlign w:val="superscript"/>
          <w:lang w:eastAsia="en-US"/>
        </w:rPr>
        <w:t>00</w:t>
      </w:r>
      <w:r w:rsidRPr="00F339AC">
        <w:rPr>
          <w:rFonts w:eastAsiaTheme="minorHAnsi"/>
          <w:b w:val="0"/>
          <w:kern w:val="0"/>
          <w:lang w:eastAsia="en-US"/>
        </w:rPr>
        <w:t>, Ventspils brīvostas pārvaldē, Jāņa ielā 19, Ventspilī 202.kabinetā darba dienās no plkst. 8</w:t>
      </w:r>
      <w:r w:rsidRPr="00F339AC">
        <w:rPr>
          <w:rFonts w:eastAsiaTheme="minorHAnsi"/>
          <w:b w:val="0"/>
          <w:kern w:val="0"/>
          <w:vertAlign w:val="superscript"/>
          <w:lang w:eastAsia="en-US"/>
        </w:rPr>
        <w:t>00</w:t>
      </w:r>
      <w:r w:rsidRPr="00F339AC">
        <w:rPr>
          <w:rFonts w:eastAsiaTheme="minorHAnsi"/>
          <w:b w:val="0"/>
          <w:kern w:val="0"/>
          <w:lang w:eastAsia="en-US"/>
        </w:rPr>
        <w:t xml:space="preserve"> līdz 12</w:t>
      </w:r>
      <w:r w:rsidRPr="00F339AC">
        <w:rPr>
          <w:rFonts w:eastAsiaTheme="minorHAnsi"/>
          <w:b w:val="0"/>
          <w:kern w:val="0"/>
          <w:vertAlign w:val="superscript"/>
          <w:lang w:eastAsia="en-US"/>
        </w:rPr>
        <w:t>00</w:t>
      </w:r>
      <w:r w:rsidRPr="00F339AC">
        <w:rPr>
          <w:rFonts w:eastAsiaTheme="minorHAnsi"/>
          <w:b w:val="0"/>
          <w:kern w:val="0"/>
          <w:lang w:eastAsia="en-US"/>
        </w:rPr>
        <w:t xml:space="preserve"> un no plkst. 13</w:t>
      </w:r>
      <w:r w:rsidRPr="00F339AC">
        <w:rPr>
          <w:rFonts w:eastAsiaTheme="minorHAnsi"/>
          <w:b w:val="0"/>
          <w:kern w:val="0"/>
          <w:vertAlign w:val="superscript"/>
          <w:lang w:eastAsia="en-US"/>
        </w:rPr>
        <w:t>00</w:t>
      </w:r>
      <w:r w:rsidRPr="00F339AC">
        <w:rPr>
          <w:rFonts w:eastAsiaTheme="minorHAnsi"/>
          <w:b w:val="0"/>
          <w:kern w:val="0"/>
          <w:lang w:eastAsia="en-US"/>
        </w:rPr>
        <w:t xml:space="preserve"> līdz 17</w:t>
      </w:r>
      <w:r w:rsidRPr="00F339AC">
        <w:rPr>
          <w:rFonts w:eastAsiaTheme="minorHAnsi"/>
          <w:b w:val="0"/>
          <w:kern w:val="0"/>
          <w:vertAlign w:val="superscript"/>
          <w:lang w:eastAsia="en-US"/>
        </w:rPr>
        <w:t>00</w:t>
      </w:r>
      <w:r w:rsidRPr="00F339AC">
        <w:rPr>
          <w:rFonts w:eastAsiaTheme="minorHAnsi"/>
          <w:b w:val="0"/>
          <w:kern w:val="0"/>
          <w:lang w:eastAsia="en-US"/>
        </w:rPr>
        <w:t>, piektdienās līdz plkst.16</w:t>
      </w:r>
      <w:r w:rsidRPr="00F339AC">
        <w:rPr>
          <w:rFonts w:eastAsiaTheme="minorHAnsi"/>
          <w:b w:val="0"/>
          <w:kern w:val="0"/>
          <w:vertAlign w:val="superscript"/>
          <w:lang w:eastAsia="en-US"/>
        </w:rPr>
        <w:t>00</w:t>
      </w:r>
      <w:r w:rsidRPr="00F339AC">
        <w:rPr>
          <w:rFonts w:eastAsiaTheme="minorHAnsi"/>
          <w:b w:val="0"/>
          <w:kern w:val="0"/>
          <w:lang w:eastAsia="en-US"/>
        </w:rPr>
        <w:t>. Saņemot piedāvājumu, Komisijas sekretāre uz piedāvājuma atzīmē tā iesniegšanas datumu un laiku.</w:t>
      </w:r>
      <w:bookmarkEnd w:id="24"/>
    </w:p>
    <w:p w14:paraId="7B2E7999" w14:textId="77777777"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kern w:val="0"/>
          <w:lang w:eastAsia="en-US"/>
        </w:rPr>
      </w:pPr>
      <w:bookmarkStart w:id="25" w:name="_Toc132704573"/>
      <w:r w:rsidRPr="00F339AC">
        <w:rPr>
          <w:rFonts w:eastAsiaTheme="minorHAnsi"/>
          <w:b w:val="0"/>
          <w:kern w:val="0"/>
          <w:lang w:eastAsia="en-US"/>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5"/>
    </w:p>
    <w:p w14:paraId="4CA10161" w14:textId="5FAB6AE7"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bCs/>
          <w:kern w:val="0"/>
          <w:lang w:eastAsia="en-US"/>
        </w:rPr>
      </w:pPr>
      <w:bookmarkStart w:id="26" w:name="_Toc132704574"/>
      <w:r w:rsidRPr="00F339AC">
        <w:rPr>
          <w:b w:val="0"/>
          <w:bCs/>
        </w:rPr>
        <w:t>Piedāvājumi, kas netiks iesniegti Iepirkuma dokumentos noteiktajā kārtībā vai tiks iesniegti pēc piedāvājumu iesniegšanas termiņa beigām, netiks pieņemti. Nekādi piedāvājuma iesniegšanas termiņa kavējuma iemesli netiks ņemti vērā.</w:t>
      </w:r>
      <w:bookmarkEnd w:id="26"/>
    </w:p>
    <w:p w14:paraId="210FA7AB" w14:textId="1BE8CA2E" w:rsidR="00B14792" w:rsidRPr="00F339AC" w:rsidRDefault="00B14792" w:rsidP="00020771">
      <w:pPr>
        <w:pStyle w:val="Heading1"/>
        <w:numPr>
          <w:ilvl w:val="1"/>
          <w:numId w:val="5"/>
        </w:numPr>
        <w:tabs>
          <w:tab w:val="num" w:pos="360"/>
        </w:tabs>
        <w:spacing w:after="0"/>
        <w:ind w:left="891" w:hanging="749"/>
        <w:contextualSpacing/>
        <w:jc w:val="both"/>
        <w:rPr>
          <w:rFonts w:eastAsiaTheme="minorHAnsi"/>
          <w:b w:val="0"/>
          <w:kern w:val="0"/>
          <w:lang w:eastAsia="en-US"/>
        </w:rPr>
      </w:pPr>
      <w:bookmarkStart w:id="27" w:name="_Toc132704575"/>
      <w:r w:rsidRPr="00F339AC">
        <w:rPr>
          <w:rFonts w:eastAsiaTheme="minorHAnsi"/>
          <w:b w:val="0"/>
          <w:kern w:val="0"/>
          <w:lang w:eastAsia="en-US"/>
        </w:rPr>
        <w:t>Piedāvājumu iesniegšana nozīmē Pretendenta godprātīgu nodomu piedalīties iepirkumā un visu Iepirkuma dokumentu prasību akceptēšanu. Piedāvājums ir juridiski saistošs Pretendentam, kas to iesniedzis.</w:t>
      </w:r>
      <w:bookmarkEnd w:id="27"/>
    </w:p>
    <w:p w14:paraId="3ABD0E2A" w14:textId="72C9128D" w:rsidR="00B14792" w:rsidRPr="00F339AC" w:rsidRDefault="00B14792" w:rsidP="00020771">
      <w:pPr>
        <w:pStyle w:val="Heading1"/>
        <w:numPr>
          <w:ilvl w:val="1"/>
          <w:numId w:val="5"/>
        </w:numPr>
        <w:tabs>
          <w:tab w:val="num" w:pos="360"/>
        </w:tabs>
        <w:spacing w:before="240" w:after="0"/>
        <w:ind w:left="891" w:hanging="749"/>
        <w:contextualSpacing/>
        <w:jc w:val="both"/>
        <w:rPr>
          <w:rFonts w:eastAsiaTheme="minorHAnsi"/>
          <w:b w:val="0"/>
          <w:kern w:val="0"/>
          <w:lang w:eastAsia="en-US"/>
        </w:rPr>
      </w:pPr>
      <w:bookmarkStart w:id="28" w:name="_Toc132704576"/>
      <w:r w:rsidRPr="00F339AC">
        <w:rPr>
          <w:rFonts w:eastAsiaTheme="minorHAnsi"/>
          <w:b w:val="0"/>
          <w:kern w:val="0"/>
          <w:lang w:eastAsia="en-US"/>
        </w:rPr>
        <w:t xml:space="preserve">Piedāvājumu atvēršana notiks </w:t>
      </w:r>
      <w:r w:rsidRPr="00F339AC">
        <w:rPr>
          <w:rFonts w:eastAsiaTheme="minorHAnsi"/>
          <w:kern w:val="0"/>
          <w:lang w:eastAsia="en-US"/>
        </w:rPr>
        <w:t xml:space="preserve">2023.gada </w:t>
      </w:r>
      <w:r w:rsidR="00C04390">
        <w:rPr>
          <w:rFonts w:eastAsiaTheme="minorHAnsi"/>
          <w:kern w:val="0"/>
          <w:lang w:eastAsia="en-US"/>
        </w:rPr>
        <w:t>24.maijā</w:t>
      </w:r>
      <w:r w:rsidRPr="00F339AC">
        <w:rPr>
          <w:rFonts w:eastAsiaTheme="minorHAnsi"/>
          <w:kern w:val="0"/>
          <w:lang w:eastAsia="en-US"/>
        </w:rPr>
        <w:t xml:space="preserve"> plkst. 1</w:t>
      </w:r>
      <w:r w:rsidR="00F339AC" w:rsidRPr="00F339AC">
        <w:rPr>
          <w:rFonts w:eastAsiaTheme="minorHAnsi"/>
          <w:kern w:val="0"/>
          <w:lang w:eastAsia="en-US"/>
        </w:rPr>
        <w:t>1</w:t>
      </w:r>
      <w:r w:rsidRPr="00F339AC">
        <w:rPr>
          <w:rFonts w:eastAsiaTheme="minorHAnsi"/>
          <w:kern w:val="0"/>
          <w:vertAlign w:val="superscript"/>
          <w:lang w:eastAsia="en-US"/>
        </w:rPr>
        <w:t>00</w:t>
      </w:r>
      <w:r w:rsidRPr="00F339AC">
        <w:rPr>
          <w:rFonts w:eastAsiaTheme="minorHAnsi"/>
          <w:b w:val="0"/>
          <w:kern w:val="0"/>
          <w:lang w:eastAsia="en-US"/>
        </w:rPr>
        <w:t>, Ventspils brīvostas pārvaldē, Jāņa ielā 19, Ventspilī.</w:t>
      </w:r>
      <w:bookmarkEnd w:id="28"/>
    </w:p>
    <w:p w14:paraId="214AB593" w14:textId="77777777" w:rsidR="00B14792" w:rsidRPr="00B14792" w:rsidRDefault="00B14792" w:rsidP="00745862">
      <w:pPr>
        <w:spacing w:after="0"/>
      </w:pPr>
    </w:p>
    <w:p w14:paraId="74835A16" w14:textId="0ED05EB0" w:rsidR="00E75D9B" w:rsidRPr="0052313A" w:rsidRDefault="00E75D9B" w:rsidP="00B11E80">
      <w:pPr>
        <w:pStyle w:val="Heading1"/>
      </w:pPr>
      <w:bookmarkStart w:id="29" w:name="_Toc132704577"/>
      <w:r w:rsidRPr="0052313A">
        <w:t>CITI NOTEIKUMI</w:t>
      </w:r>
      <w:bookmarkEnd w:id="29"/>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 xml:space="preserve">inanšu piedāvājuma pārbaude, tai skaitā </w:t>
      </w:r>
      <w:r w:rsidRPr="0052313A">
        <w:rPr>
          <w:lang w:val="lv-LV"/>
        </w:rPr>
        <w:lastRenderedPageBreak/>
        <w:t>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30"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30"/>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w:t>
      </w:r>
      <w:r w:rsidRPr="0052313A">
        <w:rPr>
          <w:lang w:val="lv-LV"/>
        </w:rPr>
        <w:lastRenderedPageBreak/>
        <w:t>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w:t>
      </w:r>
      <w:r w:rsidRPr="0052313A">
        <w:rPr>
          <w:lang w:val="lv-LV"/>
        </w:rPr>
        <w:lastRenderedPageBreak/>
        <w:t>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31" w:name="_Toc132704578"/>
      <w:r w:rsidRPr="0052313A">
        <w:t>IEPIRKUMA LĪGUMA SLĒGŠANA</w:t>
      </w:r>
      <w:bookmarkEnd w:id="31"/>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2105D0">
      <w:footerReference w:type="default" r:id="rId15"/>
      <w:footerReference w:type="first" r:id="rId16"/>
      <w:pgSz w:w="11906" w:h="16838"/>
      <w:pgMar w:top="964" w:right="1418"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F1D4" w14:textId="77777777" w:rsidR="007E7898" w:rsidRDefault="007E7898">
      <w:pPr>
        <w:spacing w:after="0" w:line="240" w:lineRule="auto"/>
      </w:pPr>
      <w:r>
        <w:separator/>
      </w:r>
    </w:p>
  </w:endnote>
  <w:endnote w:type="continuationSeparator" w:id="0">
    <w:p w14:paraId="2346FBC4" w14:textId="77777777" w:rsidR="007E7898" w:rsidRDefault="007E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B015" w14:textId="77777777" w:rsidR="007E7898" w:rsidRDefault="007E7898">
      <w:pPr>
        <w:spacing w:after="0" w:line="240" w:lineRule="auto"/>
      </w:pPr>
      <w:r>
        <w:separator/>
      </w:r>
    </w:p>
  </w:footnote>
  <w:footnote w:type="continuationSeparator" w:id="0">
    <w:p w14:paraId="47E2EF02" w14:textId="77777777" w:rsidR="007E7898" w:rsidRDefault="007E7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771"/>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475C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182B"/>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05D0"/>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27DAF"/>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3BF9"/>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1C3"/>
    <w:rsid w:val="00587BC9"/>
    <w:rsid w:val="00590D65"/>
    <w:rsid w:val="0059214F"/>
    <w:rsid w:val="005936CC"/>
    <w:rsid w:val="005A4140"/>
    <w:rsid w:val="005A6E68"/>
    <w:rsid w:val="005A7A92"/>
    <w:rsid w:val="005B0583"/>
    <w:rsid w:val="005B1063"/>
    <w:rsid w:val="005B1FAA"/>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586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E7898"/>
    <w:rsid w:val="007F2A6B"/>
    <w:rsid w:val="008026F1"/>
    <w:rsid w:val="00804DF2"/>
    <w:rsid w:val="00807492"/>
    <w:rsid w:val="00810C26"/>
    <w:rsid w:val="008112E6"/>
    <w:rsid w:val="0081169F"/>
    <w:rsid w:val="00815815"/>
    <w:rsid w:val="00820F17"/>
    <w:rsid w:val="0082565D"/>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3FC5"/>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792"/>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390"/>
    <w:rsid w:val="00C04711"/>
    <w:rsid w:val="00C04E2A"/>
    <w:rsid w:val="00C164CC"/>
    <w:rsid w:val="00C17468"/>
    <w:rsid w:val="00C2308C"/>
    <w:rsid w:val="00C23E9E"/>
    <w:rsid w:val="00C27D3E"/>
    <w:rsid w:val="00C3445B"/>
    <w:rsid w:val="00C36B85"/>
    <w:rsid w:val="00C4185C"/>
    <w:rsid w:val="00C42FB7"/>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DF72F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44B"/>
    <w:rsid w:val="00F215A8"/>
    <w:rsid w:val="00F21A98"/>
    <w:rsid w:val="00F232C6"/>
    <w:rsid w:val="00F25BE7"/>
    <w:rsid w:val="00F25DA0"/>
    <w:rsid w:val="00F2712B"/>
    <w:rsid w:val="00F339AC"/>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23941</Words>
  <Characters>13647</Characters>
  <Application>Microsoft Office Word</Application>
  <DocSecurity>0</DocSecurity>
  <Lines>113</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cp:revision>
  <cp:lastPrinted>2023-01-06T06:44:00Z</cp:lastPrinted>
  <dcterms:created xsi:type="dcterms:W3CDTF">2023-04-18T10:54:00Z</dcterms:created>
  <dcterms:modified xsi:type="dcterms:W3CDTF">2023-05-11T11:20:00Z</dcterms:modified>
</cp:coreProperties>
</file>