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4113775F" w:rsidR="005F0E34" w:rsidRDefault="00210013"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3ADABB11" w14:textId="018A874E" w:rsidR="003E4D8F" w:rsidRPr="002D00AA" w:rsidRDefault="003E4D8F" w:rsidP="00473ABD">
      <w:pPr>
        <w:jc w:val="right"/>
        <w:rPr>
          <w:i/>
          <w:iCs/>
          <w:szCs w:val="24"/>
        </w:rPr>
      </w:pPr>
      <w:r w:rsidRPr="002D00AA">
        <w:rPr>
          <w:i/>
          <w:iCs/>
          <w:szCs w:val="24"/>
        </w:rPr>
        <w:t>Atklātā iepirkuma“</w:t>
      </w:r>
      <w:r w:rsidR="00473ABD" w:rsidRPr="00473ABD">
        <w:rPr>
          <w:i/>
          <w:iCs/>
          <w:szCs w:val="24"/>
        </w:rPr>
        <w:t>Teritorijas attīrīšana Ganību ielā 99a, Ventspilī</w:t>
      </w:r>
      <w:r w:rsidRPr="002D00AA">
        <w:rPr>
          <w:i/>
          <w:iCs/>
          <w:szCs w:val="24"/>
        </w:rPr>
        <w:t xml:space="preserve">” nolikumam. </w:t>
      </w:r>
    </w:p>
    <w:p w14:paraId="74474E91" w14:textId="6BF6F84C" w:rsidR="003E4D8F" w:rsidRDefault="003E4D8F" w:rsidP="003E4D8F">
      <w:pPr>
        <w:jc w:val="right"/>
        <w:rPr>
          <w:i/>
          <w:iCs/>
          <w:szCs w:val="24"/>
        </w:rPr>
      </w:pPr>
      <w:r w:rsidRPr="002D00AA">
        <w:rPr>
          <w:i/>
          <w:iCs/>
          <w:szCs w:val="24"/>
        </w:rPr>
        <w:t>Identifikācijas Nr.VBOP 2023/</w:t>
      </w:r>
      <w:r w:rsidR="001A6FA5">
        <w:rPr>
          <w:i/>
          <w:iCs/>
          <w:szCs w:val="24"/>
        </w:rPr>
        <w:t>51</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4F749FE8"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473ABD" w:rsidRPr="00473ABD">
        <w:rPr>
          <w:sz w:val="24"/>
          <w:szCs w:val="24"/>
        </w:rPr>
        <w:t>Teritorijas attīrīšana Ganību ielā 99a, Ventspilī</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1A6FA5">
        <w:rPr>
          <w:sz w:val="24"/>
          <w:szCs w:val="24"/>
        </w:rPr>
        <w:t>51</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A6FA5"/>
    <w:rsid w:val="001B463A"/>
    <w:rsid w:val="001B786C"/>
    <w:rsid w:val="001E33FB"/>
    <w:rsid w:val="001F7CF1"/>
    <w:rsid w:val="00210013"/>
    <w:rsid w:val="002202AE"/>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1317</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cp:revision>
  <dcterms:created xsi:type="dcterms:W3CDTF">2023-01-06T07:45:00Z</dcterms:created>
  <dcterms:modified xsi:type="dcterms:W3CDTF">2023-05-09T11:36:00Z</dcterms:modified>
</cp:coreProperties>
</file>